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635" w:rsidRPr="00A3285E" w:rsidRDefault="00083635" w:rsidP="00A3285E">
      <w:pPr>
        <w:pStyle w:val="CitaoIntensa"/>
      </w:pPr>
      <w:r w:rsidRPr="00A3285E">
        <w:t>JUSTIFICATIVA DE DISPENSA DE LICITAÇÃO</w:t>
      </w:r>
    </w:p>
    <w:p w:rsidR="00083635" w:rsidRDefault="00083635" w:rsidP="004E35F1">
      <w:pPr>
        <w:pStyle w:val="Corpodetexto3"/>
        <w:widowControl w:val="0"/>
        <w:outlineLvl w:val="0"/>
        <w:rPr>
          <w:b/>
          <w:sz w:val="22"/>
          <w:szCs w:val="22"/>
        </w:rPr>
      </w:pPr>
    </w:p>
    <w:p w:rsidR="00A3285E" w:rsidRDefault="00A3285E" w:rsidP="004E35F1">
      <w:pPr>
        <w:pStyle w:val="Corpodetexto3"/>
        <w:widowControl w:val="0"/>
        <w:outlineLvl w:val="0"/>
        <w:rPr>
          <w:b/>
          <w:szCs w:val="24"/>
        </w:rPr>
      </w:pPr>
    </w:p>
    <w:p w:rsidR="004E35F1" w:rsidRPr="00A3285E" w:rsidRDefault="004E35F1" w:rsidP="004E35F1">
      <w:pPr>
        <w:pStyle w:val="Corpodetexto3"/>
        <w:widowControl w:val="0"/>
        <w:outlineLvl w:val="0"/>
        <w:rPr>
          <w:szCs w:val="24"/>
        </w:rPr>
      </w:pPr>
      <w:r w:rsidRPr="00A3285E">
        <w:rPr>
          <w:b/>
          <w:szCs w:val="24"/>
        </w:rPr>
        <w:t xml:space="preserve">Proc. n°: </w:t>
      </w:r>
      <w:r w:rsidR="009659EB" w:rsidRPr="00A3285E">
        <w:rPr>
          <w:b/>
          <w:szCs w:val="24"/>
        </w:rPr>
        <w:t>23076.</w:t>
      </w:r>
      <w:r w:rsidR="00866F71" w:rsidRPr="00A3285E">
        <w:rPr>
          <w:color w:val="FF0000"/>
          <w:szCs w:val="24"/>
        </w:rPr>
        <w:t>xxxxx</w:t>
      </w:r>
      <w:r w:rsidR="009659EB" w:rsidRPr="00A3285E">
        <w:rPr>
          <w:color w:val="FF0000"/>
          <w:szCs w:val="24"/>
        </w:rPr>
        <w:t>x</w:t>
      </w:r>
      <w:r w:rsidR="006E2435" w:rsidRPr="00A3285E">
        <w:rPr>
          <w:color w:val="FF0000"/>
          <w:szCs w:val="24"/>
        </w:rPr>
        <w:t>/20x</w:t>
      </w:r>
      <w:r w:rsidR="00866F71" w:rsidRPr="00A3285E">
        <w:rPr>
          <w:color w:val="FF0000"/>
          <w:szCs w:val="24"/>
        </w:rPr>
        <w:t>x</w:t>
      </w:r>
      <w:r w:rsidR="006E2435" w:rsidRPr="00A3285E">
        <w:rPr>
          <w:color w:val="FF0000"/>
          <w:szCs w:val="24"/>
        </w:rPr>
        <w:t>-xx</w:t>
      </w:r>
    </w:p>
    <w:p w:rsidR="004E35F1" w:rsidRPr="00A3285E" w:rsidRDefault="00083635" w:rsidP="004E35F1">
      <w:pPr>
        <w:pStyle w:val="Corpodetexto3"/>
        <w:widowControl w:val="0"/>
        <w:outlineLvl w:val="0"/>
        <w:rPr>
          <w:b/>
          <w:szCs w:val="24"/>
        </w:rPr>
      </w:pPr>
      <w:r w:rsidRPr="00A3285E">
        <w:rPr>
          <w:b/>
          <w:szCs w:val="24"/>
        </w:rPr>
        <w:t xml:space="preserve">Dispensa nº: </w:t>
      </w:r>
      <w:proofErr w:type="spellStart"/>
      <w:r w:rsidR="006E2435" w:rsidRPr="00A3285E">
        <w:rPr>
          <w:color w:val="FF0000"/>
          <w:szCs w:val="24"/>
        </w:rPr>
        <w:t>xxxxx</w:t>
      </w:r>
      <w:proofErr w:type="spellEnd"/>
      <w:r w:rsidR="006E2435" w:rsidRPr="00A3285E">
        <w:rPr>
          <w:color w:val="FF0000"/>
          <w:szCs w:val="24"/>
        </w:rPr>
        <w:t>/20x</w:t>
      </w:r>
      <w:r w:rsidRPr="00A3285E">
        <w:rPr>
          <w:color w:val="FF0000"/>
          <w:szCs w:val="24"/>
        </w:rPr>
        <w:t>x</w:t>
      </w:r>
    </w:p>
    <w:p w:rsidR="004E35F1" w:rsidRPr="00A3285E" w:rsidRDefault="004E35F1" w:rsidP="004E35F1">
      <w:pPr>
        <w:pStyle w:val="Corpodetexto3"/>
        <w:widowControl w:val="0"/>
        <w:jc w:val="left"/>
        <w:outlineLvl w:val="0"/>
        <w:rPr>
          <w:szCs w:val="24"/>
        </w:rPr>
      </w:pPr>
      <w:r w:rsidRPr="00A3285E">
        <w:rPr>
          <w:b/>
          <w:szCs w:val="24"/>
        </w:rPr>
        <w:t>ASSUNTO:</w:t>
      </w:r>
      <w:r w:rsidRPr="00A3285E">
        <w:rPr>
          <w:szCs w:val="24"/>
        </w:rPr>
        <w:t xml:space="preserve"> </w:t>
      </w:r>
      <w:r w:rsidR="0004412A" w:rsidRPr="00A3285E">
        <w:rPr>
          <w:szCs w:val="24"/>
        </w:rPr>
        <w:t xml:space="preserve">JUSTIFICATIVA DE </w:t>
      </w:r>
      <w:r w:rsidR="00EF7AB7" w:rsidRPr="00A3285E">
        <w:rPr>
          <w:szCs w:val="24"/>
        </w:rPr>
        <w:t>DISPENSA DE LICITAÇÃO</w:t>
      </w:r>
    </w:p>
    <w:p w:rsidR="004E35F1" w:rsidRPr="00083635" w:rsidRDefault="004E35F1" w:rsidP="00083635">
      <w:pPr>
        <w:pStyle w:val="Corpodetexto3"/>
        <w:widowControl w:val="0"/>
        <w:outlineLvl w:val="0"/>
        <w:rPr>
          <w:sz w:val="22"/>
          <w:szCs w:val="22"/>
          <w:u w:val="single"/>
        </w:rPr>
      </w:pPr>
      <w:bookmarkStart w:id="0" w:name="_GoBack"/>
      <w:bookmarkEnd w:id="0"/>
    </w:p>
    <w:p w:rsidR="004E35F1" w:rsidRDefault="004E35F1" w:rsidP="004E35F1">
      <w:pPr>
        <w:pStyle w:val="Corpodetexto3"/>
        <w:widowControl w:val="0"/>
        <w:outlineLvl w:val="0"/>
        <w:rPr>
          <w:sz w:val="22"/>
          <w:szCs w:val="22"/>
        </w:rPr>
      </w:pPr>
    </w:p>
    <w:p w:rsidR="00A3285E" w:rsidRPr="00083635" w:rsidRDefault="00A3285E" w:rsidP="004E35F1">
      <w:pPr>
        <w:pStyle w:val="Corpodetexto3"/>
        <w:widowControl w:val="0"/>
        <w:outlineLvl w:val="0"/>
        <w:rPr>
          <w:sz w:val="22"/>
          <w:szCs w:val="22"/>
        </w:rPr>
      </w:pPr>
    </w:p>
    <w:p w:rsidR="004E35F1" w:rsidRPr="00083635" w:rsidRDefault="004E35F1" w:rsidP="004E35F1">
      <w:pPr>
        <w:pStyle w:val="Corpodetexto3"/>
        <w:outlineLvl w:val="0"/>
        <w:rPr>
          <w:b/>
          <w:szCs w:val="22"/>
        </w:rPr>
      </w:pPr>
      <w:r w:rsidRPr="00083635">
        <w:rPr>
          <w:b/>
          <w:szCs w:val="22"/>
        </w:rPr>
        <w:t>I - DO OBJETO</w:t>
      </w:r>
    </w:p>
    <w:p w:rsidR="004E35F1" w:rsidRPr="00083635" w:rsidRDefault="004E35F1" w:rsidP="004E35F1">
      <w:pPr>
        <w:pStyle w:val="Corpodetexto3"/>
        <w:widowControl w:val="0"/>
        <w:outlineLvl w:val="0"/>
        <w:rPr>
          <w:sz w:val="22"/>
          <w:szCs w:val="22"/>
        </w:rPr>
      </w:pPr>
    </w:p>
    <w:p w:rsidR="004E35F1" w:rsidRPr="00083635" w:rsidRDefault="004E35F1" w:rsidP="004E35F1">
      <w:pPr>
        <w:pStyle w:val="Corpodetexto3"/>
        <w:widowControl w:val="0"/>
        <w:ind w:firstLine="1134"/>
        <w:outlineLvl w:val="0"/>
        <w:rPr>
          <w:szCs w:val="22"/>
        </w:rPr>
      </w:pPr>
      <w:r w:rsidRPr="00083635">
        <w:rPr>
          <w:szCs w:val="22"/>
        </w:rPr>
        <w:t>Trata</w:t>
      </w:r>
      <w:r w:rsidR="005B57B2">
        <w:rPr>
          <w:szCs w:val="22"/>
        </w:rPr>
        <w:t>m</w:t>
      </w:r>
      <w:r w:rsidRPr="00083635">
        <w:rPr>
          <w:szCs w:val="22"/>
        </w:rPr>
        <w:t xml:space="preserve"> os presentes autos de procedimento que tem por objeto </w:t>
      </w:r>
      <w:r w:rsidRPr="0004412A">
        <w:rPr>
          <w:color w:val="FF0000"/>
          <w:szCs w:val="22"/>
        </w:rPr>
        <w:t xml:space="preserve">a </w:t>
      </w:r>
      <w:r w:rsidR="00C76A95">
        <w:rPr>
          <w:color w:val="FF0000"/>
          <w:szCs w:val="22"/>
        </w:rPr>
        <w:t>aquisição/</w:t>
      </w:r>
      <w:r w:rsidRPr="0004412A">
        <w:rPr>
          <w:color w:val="FF0000"/>
          <w:szCs w:val="22"/>
        </w:rPr>
        <w:t xml:space="preserve">contratação de </w:t>
      </w:r>
      <w:r w:rsidR="003F0F88" w:rsidRPr="0004412A">
        <w:rPr>
          <w:color w:val="FF0000"/>
          <w:szCs w:val="22"/>
        </w:rPr>
        <w:t>XXXXXXXXXXXXXXXXXXXXXXXXXXXXXXXXXX</w:t>
      </w:r>
      <w:r w:rsidR="006E2435">
        <w:rPr>
          <w:color w:val="FF0000"/>
          <w:szCs w:val="22"/>
        </w:rPr>
        <w:t xml:space="preserve">, </w:t>
      </w:r>
      <w:r w:rsidR="00C76A95">
        <w:rPr>
          <w:color w:val="FF0000"/>
          <w:szCs w:val="22"/>
        </w:rPr>
        <w:t>cuja finalidade é XXXXXXXXXXXXXXXXX.</w:t>
      </w:r>
    </w:p>
    <w:p w:rsidR="004E35F1" w:rsidRPr="00083635" w:rsidRDefault="004E35F1" w:rsidP="004E35F1">
      <w:pPr>
        <w:pStyle w:val="Corpodetexto3"/>
        <w:widowControl w:val="0"/>
        <w:outlineLvl w:val="0"/>
        <w:rPr>
          <w:szCs w:val="22"/>
        </w:rPr>
      </w:pPr>
    </w:p>
    <w:p w:rsidR="005B57B2" w:rsidRDefault="005B57B2" w:rsidP="005B57B2">
      <w:pPr>
        <w:pStyle w:val="Corpodetexto3"/>
        <w:widowControl w:val="0"/>
        <w:outlineLvl w:val="0"/>
        <w:rPr>
          <w:b/>
          <w:szCs w:val="22"/>
        </w:rPr>
      </w:pPr>
      <w:r w:rsidRPr="00083635">
        <w:rPr>
          <w:b/>
          <w:szCs w:val="22"/>
        </w:rPr>
        <w:t xml:space="preserve">II – </w:t>
      </w:r>
      <w:r>
        <w:rPr>
          <w:b/>
          <w:szCs w:val="22"/>
        </w:rPr>
        <w:t>DO PROCESSO DE DISPENSA</w:t>
      </w:r>
    </w:p>
    <w:p w:rsidR="005B57B2" w:rsidRDefault="005B57B2" w:rsidP="005B57B2">
      <w:pPr>
        <w:pStyle w:val="Corpodetexto3"/>
        <w:widowControl w:val="0"/>
        <w:outlineLvl w:val="0"/>
        <w:rPr>
          <w:b/>
          <w:szCs w:val="22"/>
        </w:rPr>
      </w:pPr>
    </w:p>
    <w:p w:rsidR="005B57B2" w:rsidRDefault="005B57B2" w:rsidP="005B57B2">
      <w:pPr>
        <w:pStyle w:val="Corpodetexto3"/>
        <w:widowControl w:val="0"/>
        <w:ind w:firstLine="1134"/>
        <w:outlineLvl w:val="0"/>
        <w:rPr>
          <w:szCs w:val="22"/>
        </w:rPr>
      </w:pPr>
      <w:r>
        <w:rPr>
          <w:szCs w:val="22"/>
        </w:rPr>
        <w:t xml:space="preserve">Sabendo do dever legal de licitar, em </w:t>
      </w:r>
      <w:r w:rsidRPr="005B57B2">
        <w:rPr>
          <w:color w:val="FF0000"/>
          <w:szCs w:val="22"/>
        </w:rPr>
        <w:t>___/___/_____</w:t>
      </w:r>
      <w:r>
        <w:rPr>
          <w:color w:val="FF0000"/>
          <w:szCs w:val="22"/>
        </w:rPr>
        <w:t xml:space="preserve"> </w:t>
      </w:r>
      <w:r>
        <w:rPr>
          <w:szCs w:val="22"/>
        </w:rPr>
        <w:t xml:space="preserve">foi realizada consulta às atas de registro de preços vigentes na universidade, no sítio da </w:t>
      </w:r>
      <w:proofErr w:type="spellStart"/>
      <w:r>
        <w:rPr>
          <w:szCs w:val="22"/>
        </w:rPr>
        <w:t>Pró-reitoria</w:t>
      </w:r>
      <w:proofErr w:type="spellEnd"/>
      <w:r>
        <w:rPr>
          <w:szCs w:val="22"/>
        </w:rPr>
        <w:t xml:space="preserve"> de Gestão Administrativa – PROGEST (</w:t>
      </w:r>
      <w:hyperlink r:id="rId7" w:history="1">
        <w:r w:rsidRPr="00683C22">
          <w:rPr>
            <w:rStyle w:val="Hyperlink"/>
            <w:szCs w:val="22"/>
          </w:rPr>
          <w:t>https://www.ufpe.br/progest/atas</w:t>
        </w:r>
      </w:hyperlink>
      <w:r>
        <w:rPr>
          <w:szCs w:val="22"/>
        </w:rPr>
        <w:t>)</w:t>
      </w:r>
      <w:r w:rsidR="000F19B0">
        <w:rPr>
          <w:szCs w:val="22"/>
        </w:rPr>
        <w:t xml:space="preserve">, bem como em licitações em curso inseridas no </w:t>
      </w:r>
      <w:r w:rsidR="000F19B0" w:rsidRPr="000F19B0">
        <w:rPr>
          <w:szCs w:val="22"/>
        </w:rPr>
        <w:t>Sistema Integrado de Patrimônio, Administração e Contratos</w:t>
      </w:r>
      <w:r w:rsidR="00CE01B6">
        <w:rPr>
          <w:szCs w:val="22"/>
        </w:rPr>
        <w:t xml:space="preserve"> (SIPAC). Tais resultados revelaram que não existem processos de aquisição/contratação para o objeto referenciado dentro da UFPE.</w:t>
      </w:r>
    </w:p>
    <w:p w:rsidR="00CE01B6" w:rsidRDefault="00CE01B6" w:rsidP="005B57B2">
      <w:pPr>
        <w:pStyle w:val="Corpodetexto3"/>
        <w:widowControl w:val="0"/>
        <w:ind w:firstLine="1134"/>
        <w:outlineLvl w:val="0"/>
        <w:rPr>
          <w:szCs w:val="22"/>
        </w:rPr>
      </w:pPr>
    </w:p>
    <w:p w:rsidR="00CE01B6" w:rsidRDefault="00CE01B6" w:rsidP="00A54D97">
      <w:pPr>
        <w:pStyle w:val="Corpodetexto3"/>
        <w:widowControl w:val="0"/>
        <w:ind w:firstLine="1134"/>
        <w:outlineLvl w:val="0"/>
        <w:rPr>
          <w:szCs w:val="22"/>
        </w:rPr>
      </w:pPr>
      <w:r>
        <w:rPr>
          <w:szCs w:val="22"/>
        </w:rPr>
        <w:t xml:space="preserve">Sendo assim, em </w:t>
      </w:r>
      <w:r w:rsidRPr="005B57B2">
        <w:rPr>
          <w:color w:val="FF0000"/>
          <w:szCs w:val="22"/>
        </w:rPr>
        <w:t>___/___/_____</w:t>
      </w:r>
      <w:r>
        <w:rPr>
          <w:color w:val="FF0000"/>
          <w:szCs w:val="22"/>
        </w:rPr>
        <w:t xml:space="preserve"> </w:t>
      </w:r>
      <w:r>
        <w:rPr>
          <w:szCs w:val="22"/>
        </w:rPr>
        <w:t xml:space="preserve">realizou-se pesquisa no portal </w:t>
      </w:r>
      <w:r>
        <w:rPr>
          <w:i/>
          <w:szCs w:val="22"/>
        </w:rPr>
        <w:t>Painel de Preços</w:t>
      </w:r>
      <w:r w:rsidR="00A54D97">
        <w:rPr>
          <w:i/>
          <w:szCs w:val="22"/>
        </w:rPr>
        <w:t xml:space="preserve"> </w:t>
      </w:r>
      <w:r w:rsidR="00A54D97">
        <w:rPr>
          <w:szCs w:val="22"/>
        </w:rPr>
        <w:t>(</w:t>
      </w:r>
      <w:hyperlink r:id="rId8" w:history="1">
        <w:r w:rsidR="00A54D97" w:rsidRPr="006A321E">
          <w:rPr>
            <w:rStyle w:val="Hyperlink"/>
            <w:szCs w:val="22"/>
          </w:rPr>
          <w:t>http://paineldeprecos.planejamento.gov.br/</w:t>
        </w:r>
      </w:hyperlink>
      <w:r w:rsidR="00A54D97">
        <w:rPr>
          <w:szCs w:val="22"/>
        </w:rPr>
        <w:t>)</w:t>
      </w:r>
      <w:r>
        <w:rPr>
          <w:i/>
          <w:szCs w:val="22"/>
        </w:rPr>
        <w:t xml:space="preserve"> </w:t>
      </w:r>
      <w:r>
        <w:rPr>
          <w:szCs w:val="22"/>
        </w:rPr>
        <w:t xml:space="preserve">do Ministério de Planejamento, Desenvolvimento e Gestão, o qual </w:t>
      </w:r>
      <w:r w:rsidRPr="00CE01B6">
        <w:rPr>
          <w:szCs w:val="22"/>
        </w:rPr>
        <w:t xml:space="preserve">"disponibiliza de forma clara </w:t>
      </w:r>
      <w:r>
        <w:rPr>
          <w:szCs w:val="22"/>
        </w:rPr>
        <w:t xml:space="preserve">e </w:t>
      </w:r>
      <w:r w:rsidRPr="00CE01B6">
        <w:rPr>
          <w:szCs w:val="22"/>
        </w:rPr>
        <w:t>de fácil leitura, dados e informações de compras públicas homologadas no Sistem</w:t>
      </w:r>
      <w:r w:rsidR="00AF1C02">
        <w:rPr>
          <w:szCs w:val="22"/>
        </w:rPr>
        <w:t>a</w:t>
      </w:r>
      <w:r w:rsidRPr="00CE01B6">
        <w:rPr>
          <w:szCs w:val="22"/>
        </w:rPr>
        <w:t xml:space="preserve"> de Compras do Governo Federal </w:t>
      </w:r>
      <w:r w:rsidR="00AF1C02">
        <w:rPr>
          <w:szCs w:val="22"/>
        </w:rPr>
        <w:t>–</w:t>
      </w:r>
      <w:r w:rsidRPr="00CE01B6">
        <w:rPr>
          <w:szCs w:val="22"/>
        </w:rPr>
        <w:t xml:space="preserve"> COMPRASNET</w:t>
      </w:r>
      <w:r w:rsidR="00AF1C02">
        <w:rPr>
          <w:szCs w:val="22"/>
        </w:rPr>
        <w:t xml:space="preserve">”. Observou-se que não </w:t>
      </w:r>
      <w:r w:rsidR="00620534">
        <w:rPr>
          <w:szCs w:val="22"/>
        </w:rPr>
        <w:t xml:space="preserve">há </w:t>
      </w:r>
      <w:r w:rsidR="00AF1C02">
        <w:rPr>
          <w:szCs w:val="22"/>
        </w:rPr>
        <w:t>pregões eletrônicos do sistema de registro de preços (SRP) para tentarmos aderir à uma ata de registro de preços de outro órgão (processo conhecido como “carona”), uma vez que as especificações e/ou quantidades não atendem à demanda do requisitante.</w:t>
      </w:r>
    </w:p>
    <w:p w:rsidR="00AF1C02" w:rsidRDefault="00AF1C02" w:rsidP="005B57B2">
      <w:pPr>
        <w:pStyle w:val="Corpodetexto3"/>
        <w:widowControl w:val="0"/>
        <w:ind w:firstLine="1134"/>
        <w:outlineLvl w:val="0"/>
        <w:rPr>
          <w:szCs w:val="22"/>
        </w:rPr>
      </w:pPr>
    </w:p>
    <w:p w:rsidR="00AF1C02" w:rsidRPr="00CE01B6" w:rsidRDefault="00AF1C02" w:rsidP="005B57B2">
      <w:pPr>
        <w:pStyle w:val="Corpodetexto3"/>
        <w:widowControl w:val="0"/>
        <w:ind w:firstLine="1134"/>
        <w:outlineLvl w:val="0"/>
        <w:rPr>
          <w:szCs w:val="22"/>
        </w:rPr>
      </w:pPr>
      <w:r>
        <w:rPr>
          <w:szCs w:val="22"/>
        </w:rPr>
        <w:t>Em virtude desse trâmite e em consonância com o estudo publicado pela C</w:t>
      </w:r>
      <w:r w:rsidR="006D74D8">
        <w:rPr>
          <w:szCs w:val="22"/>
        </w:rPr>
        <w:t>ontroladoria Geral da União (C</w:t>
      </w:r>
      <w:r>
        <w:rPr>
          <w:szCs w:val="22"/>
        </w:rPr>
        <w:t>GU</w:t>
      </w:r>
      <w:r w:rsidR="006D74D8">
        <w:rPr>
          <w:szCs w:val="22"/>
        </w:rPr>
        <w:t>)</w:t>
      </w:r>
      <w:r w:rsidR="005F05EF">
        <w:rPr>
          <w:szCs w:val="22"/>
        </w:rPr>
        <w:t xml:space="preserve"> na nota técnica nº 1081/2017/CGPLAG/DG/SFC/CGU, que defende o uso da dispensa para tornar as compras públicas mais eficientes e céleres e </w:t>
      </w:r>
      <w:r>
        <w:rPr>
          <w:szCs w:val="22"/>
        </w:rPr>
        <w:t xml:space="preserve">que </w:t>
      </w:r>
      <w:r w:rsidR="005F05EF">
        <w:rPr>
          <w:szCs w:val="22"/>
        </w:rPr>
        <w:t>menciona o</w:t>
      </w:r>
      <w:r>
        <w:rPr>
          <w:szCs w:val="22"/>
        </w:rPr>
        <w:t xml:space="preserve">s custos dos certames licitatórios que perfazem uma estimativa </w:t>
      </w:r>
      <w:r w:rsidR="005F05EF">
        <w:rPr>
          <w:szCs w:val="22"/>
        </w:rPr>
        <w:t xml:space="preserve">média </w:t>
      </w:r>
      <w:r>
        <w:rPr>
          <w:szCs w:val="22"/>
        </w:rPr>
        <w:t>de R$</w:t>
      </w:r>
      <w:r w:rsidR="005F05EF" w:rsidRPr="005F05EF">
        <w:rPr>
          <w:szCs w:val="22"/>
        </w:rPr>
        <w:t>14.351,50</w:t>
      </w:r>
      <w:r w:rsidR="00FA7C90">
        <w:rPr>
          <w:szCs w:val="22"/>
        </w:rPr>
        <w:t>, v</w:t>
      </w:r>
      <w:r>
        <w:rPr>
          <w:szCs w:val="22"/>
        </w:rPr>
        <w:t>erifica-se a oportunidade e conveniência do uso da dispensa</w:t>
      </w:r>
      <w:r w:rsidR="00620534">
        <w:rPr>
          <w:szCs w:val="22"/>
        </w:rPr>
        <w:t>,</w:t>
      </w:r>
      <w:r>
        <w:rPr>
          <w:szCs w:val="22"/>
        </w:rPr>
        <w:t xml:space="preserve"> dado o valor total do objeto em questão ser de </w:t>
      </w:r>
      <w:r w:rsidRPr="007A513C">
        <w:rPr>
          <w:color w:val="FF0000"/>
          <w:szCs w:val="22"/>
        </w:rPr>
        <w:t>R$ ______________.</w:t>
      </w:r>
    </w:p>
    <w:p w:rsidR="00CE01B6" w:rsidRDefault="00CE01B6" w:rsidP="005B57B2">
      <w:pPr>
        <w:pStyle w:val="Corpodetexto3"/>
        <w:widowControl w:val="0"/>
        <w:ind w:firstLine="1134"/>
        <w:outlineLvl w:val="0"/>
        <w:rPr>
          <w:szCs w:val="22"/>
        </w:rPr>
      </w:pPr>
    </w:p>
    <w:p w:rsidR="004E35F1" w:rsidRPr="00083635" w:rsidRDefault="004E35F1" w:rsidP="004E35F1">
      <w:pPr>
        <w:pStyle w:val="Corpodetexto3"/>
        <w:widowControl w:val="0"/>
        <w:jc w:val="left"/>
        <w:outlineLvl w:val="0"/>
        <w:rPr>
          <w:sz w:val="22"/>
          <w:szCs w:val="22"/>
        </w:rPr>
      </w:pPr>
    </w:p>
    <w:p w:rsidR="004E35F1" w:rsidRPr="00083635" w:rsidRDefault="004E35F1" w:rsidP="004E35F1">
      <w:pPr>
        <w:pStyle w:val="Corpodetexto3"/>
        <w:widowControl w:val="0"/>
        <w:outlineLvl w:val="0"/>
        <w:rPr>
          <w:b/>
          <w:szCs w:val="22"/>
        </w:rPr>
      </w:pPr>
      <w:r w:rsidRPr="00083635">
        <w:rPr>
          <w:b/>
          <w:szCs w:val="22"/>
        </w:rPr>
        <w:lastRenderedPageBreak/>
        <w:t>I</w:t>
      </w:r>
      <w:r w:rsidR="005B57B2">
        <w:rPr>
          <w:b/>
          <w:szCs w:val="22"/>
        </w:rPr>
        <w:t>I</w:t>
      </w:r>
      <w:r w:rsidRPr="00083635">
        <w:rPr>
          <w:b/>
          <w:szCs w:val="22"/>
        </w:rPr>
        <w:t>I – DA DISPENSA DE LICITAÇÃO</w:t>
      </w:r>
    </w:p>
    <w:p w:rsidR="004E35F1" w:rsidRPr="00083635" w:rsidRDefault="004E35F1" w:rsidP="004E35F1">
      <w:pPr>
        <w:pStyle w:val="Corpodetexto3"/>
        <w:widowControl w:val="0"/>
        <w:outlineLvl w:val="0"/>
        <w:rPr>
          <w:sz w:val="22"/>
          <w:szCs w:val="22"/>
        </w:rPr>
      </w:pPr>
    </w:p>
    <w:p w:rsidR="004E35F1" w:rsidRPr="00083635" w:rsidRDefault="004E35F1" w:rsidP="004E35F1">
      <w:pPr>
        <w:pStyle w:val="Corpodetexto3"/>
        <w:widowControl w:val="0"/>
        <w:ind w:firstLine="1134"/>
        <w:outlineLvl w:val="0"/>
        <w:rPr>
          <w:szCs w:val="22"/>
        </w:rPr>
      </w:pPr>
      <w:r w:rsidRPr="00083635">
        <w:rPr>
          <w:szCs w:val="22"/>
        </w:rPr>
        <w:t>As compras e contratações das entidades públicas seguem obrigatoriamente um regime regulamentado por Lei.</w:t>
      </w:r>
    </w:p>
    <w:p w:rsidR="004E35F1" w:rsidRPr="00083635" w:rsidRDefault="004E35F1" w:rsidP="004E35F1">
      <w:pPr>
        <w:pStyle w:val="Corpodetexto3"/>
        <w:widowControl w:val="0"/>
        <w:outlineLvl w:val="0"/>
        <w:rPr>
          <w:szCs w:val="22"/>
        </w:rPr>
      </w:pPr>
    </w:p>
    <w:p w:rsidR="004E35F1" w:rsidRPr="00083635" w:rsidRDefault="004E35F1" w:rsidP="004E35F1">
      <w:pPr>
        <w:pStyle w:val="Corpodetexto3"/>
        <w:widowControl w:val="0"/>
        <w:ind w:firstLine="1134"/>
        <w:outlineLvl w:val="0"/>
        <w:rPr>
          <w:szCs w:val="22"/>
        </w:rPr>
      </w:pPr>
      <w:r w:rsidRPr="00083635">
        <w:rPr>
          <w:szCs w:val="22"/>
        </w:rPr>
        <w:t>O fundamento principal que reza por esta iniciativa é o artigo. 37, inciso XXI, da Constituição Federal de 1988, no qual determina que as obras, os serviços, compras e alienações devem ocorrer por meio de licitações.</w:t>
      </w:r>
    </w:p>
    <w:p w:rsidR="004E35F1" w:rsidRPr="00083635" w:rsidRDefault="004E35F1" w:rsidP="004E35F1">
      <w:pPr>
        <w:pStyle w:val="Corpodetexto3"/>
        <w:widowControl w:val="0"/>
        <w:outlineLvl w:val="0"/>
        <w:rPr>
          <w:szCs w:val="22"/>
        </w:rPr>
      </w:pPr>
    </w:p>
    <w:p w:rsidR="004E35F1" w:rsidRPr="00083635" w:rsidRDefault="004E35F1" w:rsidP="004E35F1">
      <w:pPr>
        <w:pStyle w:val="Corpodetexto3"/>
        <w:widowControl w:val="0"/>
        <w:ind w:firstLine="1134"/>
        <w:outlineLvl w:val="0"/>
        <w:rPr>
          <w:szCs w:val="22"/>
        </w:rPr>
      </w:pPr>
      <w:r w:rsidRPr="00083635">
        <w:rPr>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4E35F1" w:rsidRPr="00083635" w:rsidRDefault="004E35F1" w:rsidP="004E35F1">
      <w:pPr>
        <w:pStyle w:val="Corpodetexto3"/>
        <w:widowControl w:val="0"/>
        <w:outlineLvl w:val="0"/>
        <w:rPr>
          <w:szCs w:val="22"/>
        </w:rPr>
      </w:pPr>
    </w:p>
    <w:p w:rsidR="004E35F1" w:rsidRPr="00083635" w:rsidRDefault="004E35F1" w:rsidP="004E35F1">
      <w:pPr>
        <w:widowControl w:val="0"/>
        <w:ind w:firstLine="1134"/>
        <w:jc w:val="both"/>
        <w:rPr>
          <w:rFonts w:ascii="Times New Roman" w:hAnsi="Times New Roman"/>
          <w:bCs/>
          <w:iCs/>
          <w:sz w:val="24"/>
        </w:rPr>
      </w:pPr>
      <w:r w:rsidRPr="00083635">
        <w:rPr>
          <w:rFonts w:ascii="Times New Roman" w:hAnsi="Times New Roman"/>
          <w:bCs/>
          <w:iCs/>
          <w:sz w:val="24"/>
        </w:rPr>
        <w:t>Para melhor entendimento, vejamos o que dispõe o inciso XXI do Artigo 37 da CF/1988:</w:t>
      </w:r>
    </w:p>
    <w:p w:rsidR="004E35F1" w:rsidRPr="00083635" w:rsidRDefault="004E35F1" w:rsidP="0004412A">
      <w:pPr>
        <w:widowControl w:val="0"/>
        <w:ind w:left="2268"/>
        <w:jc w:val="both"/>
        <w:rPr>
          <w:rFonts w:ascii="Times New Roman" w:hAnsi="Times New Roman"/>
          <w:bCs/>
          <w:i/>
          <w:iCs/>
        </w:rPr>
      </w:pPr>
      <w:r w:rsidRPr="00083635">
        <w:rPr>
          <w:rFonts w:ascii="Times New Roman" w:hAnsi="Times New Roman"/>
          <w:bCs/>
          <w:i/>
          <w:iCs/>
        </w:rPr>
        <w:t>(...)</w:t>
      </w:r>
    </w:p>
    <w:p w:rsidR="004E35F1" w:rsidRPr="00083635" w:rsidRDefault="004E35F1" w:rsidP="0004412A">
      <w:pPr>
        <w:widowControl w:val="0"/>
        <w:ind w:left="2268"/>
        <w:jc w:val="both"/>
        <w:rPr>
          <w:rFonts w:ascii="Times New Roman" w:hAnsi="Times New Roman"/>
          <w:bCs/>
          <w:i/>
          <w:iCs/>
        </w:rPr>
      </w:pPr>
      <w:r w:rsidRPr="00083635">
        <w:rPr>
          <w:rFonts w:ascii="Times New Roman" w:hAnsi="Times New Roman"/>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r w:rsidR="0004412A" w:rsidRPr="00083635">
        <w:rPr>
          <w:rFonts w:ascii="Times New Roman" w:hAnsi="Times New Roman"/>
          <w:bCs/>
          <w:i/>
          <w:iCs/>
        </w:rPr>
        <w:t>obrigações. ”</w:t>
      </w:r>
    </w:p>
    <w:p w:rsidR="004E35F1" w:rsidRPr="009C2807" w:rsidRDefault="004E35F1" w:rsidP="004E35F1">
      <w:pPr>
        <w:pStyle w:val="Corpodetexto3"/>
        <w:widowControl w:val="0"/>
        <w:ind w:firstLine="1134"/>
        <w:outlineLvl w:val="0"/>
        <w:rPr>
          <w:szCs w:val="22"/>
        </w:rPr>
      </w:pPr>
      <w:r w:rsidRPr="009C2807">
        <w:rPr>
          <w:szCs w:val="22"/>
        </w:rPr>
        <w:t>Para regulamentar o exercício dessa atividade foi então criada a Lei Federal nº 8.666 de 21 de junho de 1993, mais conhecida como Lei de Licitações e Contratos Administrativos.</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szCs w:val="22"/>
        </w:rPr>
      </w:pPr>
      <w:r w:rsidRPr="009C2807">
        <w:rPr>
          <w:szCs w:val="22"/>
        </w:rPr>
        <w:t>O objetivo da licitação é contratar a proposta mais vantajosa, primando pelos princípios da legalidade, impessoalidade, igualdade, moralidade e publicidade. Licitar é regra.</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szCs w:val="22"/>
        </w:rPr>
      </w:pPr>
      <w:r w:rsidRPr="009C2807">
        <w:rPr>
          <w:szCs w:val="22"/>
        </w:rPr>
        <w:t>Entretanto, há aquisições e contratações que possuem caracterizações específicas tornando impossíveis e/ou inviáveis as licitações nos trâmites usuais, frustrando a realização adequada das funções estatais.</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i/>
          <w:szCs w:val="22"/>
        </w:rPr>
      </w:pPr>
      <w:r w:rsidRPr="009C2807">
        <w:rPr>
          <w:szCs w:val="22"/>
        </w:rPr>
        <w:t xml:space="preserve">Na ocorrência de licitações impossíveis e/ou inviáveis, a lei previu exceções à regra, as Dispensas de Licitações e a Inexigibilidade de Licitação. Trata-se de certame realizado sob a obediência ao estabelecido no art. 24, inciso II da Lei n. 8.666/93, onde </w:t>
      </w:r>
      <w:r w:rsidRPr="009C2807">
        <w:rPr>
          <w:szCs w:val="22"/>
        </w:rPr>
        <w:lastRenderedPageBreak/>
        <w:t>se verifica ocasião em que é cabível a dispensa de licitação</w:t>
      </w:r>
      <w:r w:rsidRPr="009C2807">
        <w:rPr>
          <w:i/>
          <w:szCs w:val="22"/>
        </w:rPr>
        <w:t>:</w:t>
      </w:r>
    </w:p>
    <w:p w:rsidR="004E35F1" w:rsidRPr="00083635" w:rsidRDefault="004E35F1" w:rsidP="004E35F1">
      <w:pPr>
        <w:pStyle w:val="Corpodetexto3"/>
        <w:widowControl w:val="0"/>
        <w:outlineLvl w:val="0"/>
        <w:rPr>
          <w:sz w:val="20"/>
        </w:rPr>
      </w:pPr>
    </w:p>
    <w:p w:rsidR="004E35F1" w:rsidRPr="0004412A" w:rsidRDefault="004E35F1" w:rsidP="0004412A">
      <w:pPr>
        <w:pStyle w:val="Corpodetexto3"/>
        <w:widowControl w:val="0"/>
        <w:ind w:left="2268"/>
        <w:outlineLvl w:val="0"/>
        <w:rPr>
          <w:i/>
          <w:sz w:val="22"/>
          <w:szCs w:val="22"/>
        </w:rPr>
      </w:pPr>
      <w:r w:rsidRPr="0004412A">
        <w:rPr>
          <w:i/>
          <w:sz w:val="22"/>
          <w:szCs w:val="22"/>
        </w:rPr>
        <w:t>“Art. 24 É dispensável a licitação:</w:t>
      </w:r>
    </w:p>
    <w:p w:rsidR="004E35F1" w:rsidRPr="0004412A" w:rsidRDefault="004E35F1" w:rsidP="0004412A">
      <w:pPr>
        <w:pStyle w:val="Corpodetexto3"/>
        <w:widowControl w:val="0"/>
        <w:ind w:left="2268"/>
        <w:outlineLvl w:val="0"/>
        <w:rPr>
          <w:i/>
          <w:sz w:val="22"/>
          <w:szCs w:val="22"/>
        </w:rPr>
      </w:pPr>
      <w:r w:rsidRPr="0004412A">
        <w:rPr>
          <w:i/>
          <w:sz w:val="22"/>
          <w:szCs w:val="22"/>
        </w:rPr>
        <w:t>...</w:t>
      </w:r>
    </w:p>
    <w:p w:rsidR="004E35F1" w:rsidRPr="0004412A" w:rsidRDefault="004E35F1" w:rsidP="0004412A">
      <w:pPr>
        <w:pStyle w:val="Corpodetexto3"/>
        <w:widowControl w:val="0"/>
        <w:ind w:left="2268"/>
        <w:outlineLvl w:val="0"/>
        <w:rPr>
          <w:i/>
          <w:sz w:val="22"/>
          <w:szCs w:val="22"/>
        </w:rPr>
      </w:pPr>
      <w:r w:rsidRPr="0004412A">
        <w:rPr>
          <w:i/>
          <w:sz w:val="22"/>
          <w:szCs w:val="22"/>
        </w:rPr>
        <w:t xml:space="preserve">II - </w:t>
      </w:r>
      <w:proofErr w:type="gramStart"/>
      <w:r w:rsidRPr="0004412A">
        <w:rPr>
          <w:i/>
          <w:sz w:val="22"/>
          <w:szCs w:val="22"/>
        </w:rPr>
        <w:t>para</w:t>
      </w:r>
      <w:proofErr w:type="gramEnd"/>
      <w:r w:rsidRPr="0004412A">
        <w:rPr>
          <w:i/>
          <w:sz w:val="22"/>
          <w:szCs w:val="22"/>
        </w:rPr>
        <w:t xml:space="preserve"> outros serviços e compras de valor até dez por cento do limite previsto na alínea “a” do inciso II (R$ </w:t>
      </w:r>
      <w:r w:rsidR="009C19F1">
        <w:rPr>
          <w:i/>
          <w:sz w:val="22"/>
          <w:szCs w:val="22"/>
        </w:rPr>
        <w:t>17.6</w:t>
      </w:r>
      <w:r w:rsidRPr="0004412A">
        <w:rPr>
          <w:i/>
          <w:sz w:val="22"/>
          <w:szCs w:val="22"/>
        </w:rPr>
        <w:t xml:space="preserve">00,00) do artigo anterior, e para alienações, nos casos previstos nesta Lei, desde que não se refiram a parcelas de um mesmo serviço, compra ou alienação de maior vulto que possa ser realizada de uma só </w:t>
      </w:r>
      <w:r w:rsidR="0004412A" w:rsidRPr="0004412A">
        <w:rPr>
          <w:i/>
          <w:sz w:val="22"/>
          <w:szCs w:val="22"/>
        </w:rPr>
        <w:t>vez. ”</w:t>
      </w:r>
    </w:p>
    <w:p w:rsidR="004E35F1" w:rsidRPr="00083635" w:rsidRDefault="004E35F1" w:rsidP="004E35F1">
      <w:pPr>
        <w:widowControl w:val="0"/>
        <w:jc w:val="both"/>
        <w:rPr>
          <w:rFonts w:ascii="Times New Roman" w:hAnsi="Times New Roman"/>
          <w:bCs/>
          <w:iCs/>
        </w:rPr>
      </w:pPr>
    </w:p>
    <w:p w:rsidR="004E35F1" w:rsidRPr="009C2807" w:rsidRDefault="004E35F1" w:rsidP="009C19F1">
      <w:pPr>
        <w:pStyle w:val="Corpodetexto3"/>
        <w:spacing w:line="276" w:lineRule="auto"/>
        <w:ind w:firstLine="1134"/>
        <w:outlineLvl w:val="0"/>
        <w:rPr>
          <w:szCs w:val="22"/>
        </w:rPr>
      </w:pPr>
      <w:r w:rsidRPr="009C2807">
        <w:rPr>
          <w:szCs w:val="22"/>
        </w:rPr>
        <w:t>No caso em questão verifica-se a Dispensa de Licitação com base jurídica no inciso I</w:t>
      </w:r>
      <w:r w:rsidR="009C19F1">
        <w:rPr>
          <w:szCs w:val="22"/>
        </w:rPr>
        <w:t>I do art. 24 da Lei nº 8.666/93, atualizada pelo decreto nº 9.412 de 18 de junho de 2018.</w:t>
      </w:r>
    </w:p>
    <w:p w:rsidR="004E35F1" w:rsidRPr="00083635" w:rsidRDefault="004E35F1" w:rsidP="004E35F1">
      <w:pPr>
        <w:widowControl w:val="0"/>
        <w:jc w:val="both"/>
        <w:rPr>
          <w:rFonts w:ascii="Times New Roman" w:hAnsi="Times New Roman"/>
          <w:bCs/>
          <w:iCs/>
        </w:rPr>
      </w:pPr>
    </w:p>
    <w:p w:rsidR="004E35F1" w:rsidRPr="00BB554C" w:rsidRDefault="004E35F1" w:rsidP="004E35F1">
      <w:pPr>
        <w:pStyle w:val="Corpodetexto3"/>
        <w:widowControl w:val="0"/>
        <w:outlineLvl w:val="0"/>
        <w:rPr>
          <w:b/>
          <w:szCs w:val="22"/>
        </w:rPr>
      </w:pPr>
      <w:r w:rsidRPr="00BB554C">
        <w:rPr>
          <w:b/>
          <w:szCs w:val="22"/>
        </w:rPr>
        <w:t>I</w:t>
      </w:r>
      <w:r w:rsidR="005B57B2">
        <w:rPr>
          <w:b/>
          <w:szCs w:val="22"/>
        </w:rPr>
        <w:t>V</w:t>
      </w:r>
      <w:r w:rsidRPr="00BB554C">
        <w:rPr>
          <w:b/>
          <w:szCs w:val="22"/>
        </w:rPr>
        <w:t xml:space="preserve"> – DA JUSTIFICATIVA DA DISPENSA E NÃO OCORRÊNCIA DE FRAGMENTAÇÃO</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szCs w:val="22"/>
        </w:rPr>
      </w:pPr>
      <w:r w:rsidRPr="009C2807">
        <w:rPr>
          <w:szCs w:val="22"/>
        </w:rPr>
        <w:t>Diz o art. 26 da Lei 8.666/93, em seu parágrafo único:</w:t>
      </w:r>
    </w:p>
    <w:p w:rsidR="004E35F1" w:rsidRPr="00083635" w:rsidRDefault="004E35F1" w:rsidP="004E35F1">
      <w:pPr>
        <w:pStyle w:val="Corpodetexto3"/>
        <w:widowControl w:val="0"/>
        <w:outlineLvl w:val="0"/>
        <w:rPr>
          <w:sz w:val="20"/>
        </w:rPr>
      </w:pPr>
    </w:p>
    <w:p w:rsidR="004E35F1" w:rsidRPr="009C2807" w:rsidRDefault="004E35F1" w:rsidP="0004412A">
      <w:pPr>
        <w:pStyle w:val="Corpodetexto3"/>
        <w:widowControl w:val="0"/>
        <w:ind w:left="2268"/>
        <w:outlineLvl w:val="0"/>
        <w:rPr>
          <w:i/>
          <w:sz w:val="22"/>
        </w:rPr>
      </w:pPr>
      <w:r w:rsidRPr="009C2807">
        <w:rPr>
          <w:i/>
          <w:sz w:val="22"/>
        </w:rPr>
        <w:t>“Parágrafo único – O processo de dispensa, de inexigibilidade ou de retardamento, previsto neste artigo, será instruído, no que couber, com os seguintes elementos:</w:t>
      </w:r>
    </w:p>
    <w:p w:rsidR="004E35F1" w:rsidRPr="009C2807" w:rsidRDefault="004E35F1" w:rsidP="0004412A">
      <w:pPr>
        <w:pStyle w:val="Corpodetexto3"/>
        <w:widowControl w:val="0"/>
        <w:ind w:left="2268"/>
        <w:outlineLvl w:val="0"/>
        <w:rPr>
          <w:i/>
          <w:sz w:val="22"/>
        </w:rPr>
      </w:pPr>
      <w:r w:rsidRPr="009C2807">
        <w:rPr>
          <w:i/>
          <w:sz w:val="22"/>
        </w:rPr>
        <w:t xml:space="preserve">I – </w:t>
      </w:r>
      <w:proofErr w:type="gramStart"/>
      <w:r w:rsidRPr="009C2807">
        <w:rPr>
          <w:i/>
          <w:sz w:val="22"/>
        </w:rPr>
        <w:t>caracterização</w:t>
      </w:r>
      <w:proofErr w:type="gramEnd"/>
      <w:r w:rsidRPr="009C2807">
        <w:rPr>
          <w:i/>
          <w:sz w:val="22"/>
        </w:rPr>
        <w:t xml:space="preserve"> da situação emergencial ou calamitosa que justifique a dispensa, quando for o caso;</w:t>
      </w:r>
    </w:p>
    <w:p w:rsidR="004E35F1" w:rsidRPr="009C2807" w:rsidRDefault="004E35F1" w:rsidP="0004412A">
      <w:pPr>
        <w:pStyle w:val="Corpodetexto3"/>
        <w:widowControl w:val="0"/>
        <w:ind w:left="2268"/>
        <w:outlineLvl w:val="0"/>
        <w:rPr>
          <w:i/>
          <w:sz w:val="22"/>
        </w:rPr>
      </w:pPr>
      <w:r w:rsidRPr="009C2807">
        <w:rPr>
          <w:i/>
          <w:sz w:val="22"/>
        </w:rPr>
        <w:t xml:space="preserve">II – </w:t>
      </w:r>
      <w:proofErr w:type="gramStart"/>
      <w:r w:rsidRPr="009C2807">
        <w:rPr>
          <w:i/>
          <w:sz w:val="22"/>
        </w:rPr>
        <w:t>razão</w:t>
      </w:r>
      <w:proofErr w:type="gramEnd"/>
      <w:r w:rsidRPr="009C2807">
        <w:rPr>
          <w:i/>
          <w:sz w:val="22"/>
        </w:rPr>
        <w:t xml:space="preserve"> da escolha do fornecedor ou executante;</w:t>
      </w:r>
    </w:p>
    <w:p w:rsidR="004E35F1" w:rsidRPr="009C2807" w:rsidRDefault="004E35F1" w:rsidP="0004412A">
      <w:pPr>
        <w:pStyle w:val="Corpodetexto3"/>
        <w:widowControl w:val="0"/>
        <w:ind w:left="2268"/>
        <w:outlineLvl w:val="0"/>
        <w:rPr>
          <w:i/>
          <w:sz w:val="22"/>
        </w:rPr>
      </w:pPr>
      <w:r w:rsidRPr="009C2807">
        <w:rPr>
          <w:i/>
          <w:sz w:val="22"/>
        </w:rPr>
        <w:t>III – justificativa do preço;</w:t>
      </w:r>
    </w:p>
    <w:p w:rsidR="004E35F1" w:rsidRPr="009C2807" w:rsidRDefault="004E35F1" w:rsidP="0004412A">
      <w:pPr>
        <w:pStyle w:val="Corpodetexto3"/>
        <w:widowControl w:val="0"/>
        <w:ind w:left="2268"/>
        <w:outlineLvl w:val="0"/>
        <w:rPr>
          <w:i/>
          <w:sz w:val="22"/>
        </w:rPr>
      </w:pPr>
      <w:r w:rsidRPr="009C2807">
        <w:rPr>
          <w:i/>
          <w:sz w:val="22"/>
        </w:rPr>
        <w:t xml:space="preserve">IV – </w:t>
      </w:r>
      <w:proofErr w:type="gramStart"/>
      <w:r w:rsidRPr="009C2807">
        <w:rPr>
          <w:i/>
          <w:sz w:val="22"/>
        </w:rPr>
        <w:t>documentos</w:t>
      </w:r>
      <w:proofErr w:type="gramEnd"/>
      <w:r w:rsidRPr="009C2807">
        <w:rPr>
          <w:i/>
          <w:sz w:val="22"/>
        </w:rPr>
        <w:t xml:space="preserve"> de aprovação dos projetos de pesquisa aos quais os bens serão </w:t>
      </w:r>
      <w:r w:rsidR="0004412A" w:rsidRPr="009C2807">
        <w:rPr>
          <w:i/>
          <w:sz w:val="22"/>
        </w:rPr>
        <w:t>alocados. ”</w:t>
      </w:r>
    </w:p>
    <w:p w:rsidR="004E35F1" w:rsidRPr="009C2807" w:rsidRDefault="004E35F1" w:rsidP="004E35F1">
      <w:pPr>
        <w:pStyle w:val="Corpodetexto3"/>
        <w:widowControl w:val="0"/>
        <w:outlineLvl w:val="0"/>
        <w:rPr>
          <w:sz w:val="22"/>
        </w:rPr>
      </w:pPr>
    </w:p>
    <w:p w:rsidR="004E35F1" w:rsidRPr="009C2807" w:rsidRDefault="004E35F1" w:rsidP="004E35F1">
      <w:pPr>
        <w:pStyle w:val="Corpodetexto3"/>
        <w:widowControl w:val="0"/>
        <w:ind w:firstLine="1134"/>
        <w:outlineLvl w:val="0"/>
        <w:rPr>
          <w:szCs w:val="22"/>
        </w:rPr>
      </w:pPr>
      <w:r w:rsidRPr="009C2807">
        <w:rPr>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szCs w:val="22"/>
        </w:rPr>
      </w:pPr>
      <w:r w:rsidRPr="009C2807">
        <w:rPr>
          <w:szCs w:val="22"/>
        </w:rPr>
        <w:t>No caso em questão se verifica a análise dos incisos II e III, do parágrafo único, do art. 26 da Lei 8.666/93. Inobstante o fato da presente contratação estar dentro dos limites estabelecidos no art. 24, II da Lei 8.666/93, o que justifica a contratação direta, vale tecer alguns comentários a despeito de eventual fragmentação de despesa, o que ensejaria afronta a Lei de Licitações.</w:t>
      </w:r>
    </w:p>
    <w:p w:rsidR="004E35F1" w:rsidRPr="00083635" w:rsidRDefault="004E35F1" w:rsidP="004E35F1">
      <w:pPr>
        <w:pStyle w:val="Corpodetexto3"/>
        <w:widowControl w:val="0"/>
        <w:outlineLvl w:val="0"/>
        <w:rPr>
          <w:sz w:val="22"/>
          <w:szCs w:val="22"/>
        </w:rPr>
      </w:pPr>
    </w:p>
    <w:p w:rsidR="004E35F1" w:rsidRPr="009C2807" w:rsidRDefault="004E35F1" w:rsidP="004E35F1">
      <w:pPr>
        <w:widowControl w:val="0"/>
        <w:ind w:firstLine="1134"/>
        <w:jc w:val="both"/>
        <w:rPr>
          <w:rFonts w:ascii="Times New Roman" w:hAnsi="Times New Roman"/>
          <w:sz w:val="24"/>
        </w:rPr>
      </w:pPr>
      <w:r w:rsidRPr="009C2807">
        <w:rPr>
          <w:rFonts w:ascii="Times New Roman" w:hAnsi="Times New Roman"/>
          <w:sz w:val="24"/>
        </w:rPr>
        <w:t xml:space="preserve">Tanto a doutrina quanto a jurisprudência recomendam que nas compras deverão ser observadas as quantidades a serem adquiridas em função do consumo </w:t>
      </w:r>
      <w:r w:rsidRPr="009C2807">
        <w:rPr>
          <w:rFonts w:ascii="Times New Roman" w:hAnsi="Times New Roman"/>
          <w:sz w:val="24"/>
        </w:rPr>
        <w:lastRenderedPageBreak/>
        <w:t xml:space="preserve">estimado. Portanto, deve haver um planejamento para a realização das compras, além disso, este planejamento deve observar o princípio da anualidade do orçamento. </w:t>
      </w:r>
      <w:r w:rsidRPr="009C2807">
        <w:rPr>
          <w:rFonts w:ascii="Times New Roman" w:hAnsi="Times New Roman"/>
          <w:i/>
          <w:sz w:val="24"/>
        </w:rPr>
        <w:t xml:space="preserve">“Logo, não pode o agente público justificar o fracionamento da despesa com várias aquisições ou contratações no mesmo exercício, sob modalidade de licitação inferior àquela exigida pelo total da despesa no ano, quando isto for decorrente da falta de </w:t>
      </w:r>
      <w:r w:rsidR="0004412A" w:rsidRPr="009C2807">
        <w:rPr>
          <w:rFonts w:ascii="Times New Roman" w:hAnsi="Times New Roman"/>
          <w:i/>
          <w:sz w:val="24"/>
        </w:rPr>
        <w:t>planejamento. ”</w:t>
      </w:r>
      <w:r w:rsidRPr="009C2807">
        <w:rPr>
          <w:rFonts w:ascii="Times New Roman" w:hAnsi="Times New Roman"/>
          <w:sz w:val="24"/>
        </w:rPr>
        <w:t xml:space="preserve"> - Manual TCU.</w:t>
      </w:r>
    </w:p>
    <w:p w:rsidR="004E35F1" w:rsidRPr="009C2807" w:rsidRDefault="004E35F1" w:rsidP="004E35F1">
      <w:pPr>
        <w:widowControl w:val="0"/>
        <w:ind w:firstLine="1134"/>
        <w:jc w:val="both"/>
        <w:rPr>
          <w:rFonts w:ascii="Times New Roman" w:hAnsi="Times New Roman"/>
          <w:color w:val="000000"/>
          <w:sz w:val="24"/>
        </w:rPr>
      </w:pPr>
      <w:r w:rsidRPr="009C2807">
        <w:rPr>
          <w:rFonts w:ascii="Times New Roman" w:hAnsi="Times New Roman"/>
          <w:color w:val="000000"/>
          <w:sz w:val="24"/>
        </w:rPr>
        <w:t>A Constituição Federal em seu artigo 37, inciso XXI estabelece o dever de licitar de forma a assegurar a igualdade de condições a todos os concorrentes, em obediência aos princípios da impessoalidade, da isonomia, da publicidade, da moralidade e da legalidade.</w:t>
      </w:r>
    </w:p>
    <w:p w:rsidR="004E35F1" w:rsidRPr="009C2807" w:rsidRDefault="004E35F1" w:rsidP="004E35F1">
      <w:pPr>
        <w:widowControl w:val="0"/>
        <w:ind w:firstLine="1134"/>
        <w:jc w:val="both"/>
        <w:rPr>
          <w:rFonts w:ascii="Times New Roman" w:hAnsi="Times New Roman"/>
          <w:color w:val="000000"/>
          <w:sz w:val="24"/>
        </w:rPr>
      </w:pPr>
      <w:r w:rsidRPr="009C2807">
        <w:rPr>
          <w:rFonts w:ascii="Times New Roman" w:hAnsi="Times New Roman"/>
          <w:color w:val="000000"/>
          <w:sz w:val="24"/>
        </w:rPr>
        <w:t>Nesse mesmo sentido, o art. 3º da Lei n.º 8.666/93, reforça a observância desses princípios e ainda estabelece que a licitação corresponde a procedimento administrativo voltado à seleção mais vantajosa para a contratação desejada pela Administração Pública e necessária ao atendimento do interesse público.</w:t>
      </w:r>
    </w:p>
    <w:p w:rsidR="004E35F1" w:rsidRPr="009C2807" w:rsidRDefault="004E35F1" w:rsidP="004E35F1">
      <w:pPr>
        <w:widowControl w:val="0"/>
        <w:ind w:firstLine="1134"/>
        <w:jc w:val="both"/>
        <w:rPr>
          <w:rFonts w:ascii="Times New Roman" w:hAnsi="Times New Roman"/>
          <w:i/>
          <w:iCs/>
          <w:color w:val="000000"/>
          <w:sz w:val="24"/>
        </w:rPr>
      </w:pPr>
      <w:r w:rsidRPr="009C2807">
        <w:rPr>
          <w:rFonts w:ascii="Times New Roman" w:hAnsi="Times New Roman"/>
          <w:color w:val="000000"/>
          <w:sz w:val="24"/>
        </w:rPr>
        <w:t xml:space="preserve">Sobre a contratação indevida sem a observância do procedimento licitatório, fracionando as despesas, Jorge Ulysses </w:t>
      </w:r>
      <w:proofErr w:type="spellStart"/>
      <w:r w:rsidRPr="009C2807">
        <w:rPr>
          <w:rFonts w:ascii="Times New Roman" w:hAnsi="Times New Roman"/>
          <w:color w:val="000000"/>
          <w:sz w:val="24"/>
        </w:rPr>
        <w:t>Jacoby</w:t>
      </w:r>
      <w:proofErr w:type="spellEnd"/>
      <w:r w:rsidRPr="009C2807">
        <w:rPr>
          <w:rFonts w:ascii="Times New Roman" w:hAnsi="Times New Roman"/>
          <w:color w:val="000000"/>
          <w:sz w:val="24"/>
        </w:rPr>
        <w:t xml:space="preserve"> Fernandes, traz em sua obra </w:t>
      </w:r>
      <w:r w:rsidRPr="009C2807">
        <w:rPr>
          <w:rFonts w:ascii="Times New Roman" w:hAnsi="Times New Roman"/>
          <w:i/>
          <w:iCs/>
          <w:color w:val="000000"/>
          <w:sz w:val="24"/>
        </w:rPr>
        <w:t>Contratação Direta sem Licitação</w:t>
      </w:r>
      <w:r w:rsidRPr="009C2807">
        <w:rPr>
          <w:rFonts w:ascii="Times New Roman" w:hAnsi="Times New Roman"/>
          <w:color w:val="000000"/>
          <w:sz w:val="24"/>
        </w:rPr>
        <w:t>, páginas 154/159, 5ª edição, Editora Brasília Jurídica, posicionamento do Tribunal de Contas as União, de que: </w:t>
      </w:r>
      <w:r w:rsidRPr="009C2807">
        <w:rPr>
          <w:rFonts w:ascii="Times New Roman" w:hAnsi="Times New Roman"/>
          <w:bCs/>
          <w:i/>
          <w:iCs/>
          <w:color w:val="000000"/>
          <w:sz w:val="24"/>
        </w:rPr>
        <w:t>“O parcelamento de despesa, quer com o objetivo de evitar modalidade mais ampla de licitação, quer com o de possibilitar-lhe a dispensa, constitui infração legal”</w:t>
      </w:r>
      <w:r w:rsidRPr="009C2807">
        <w:rPr>
          <w:rFonts w:ascii="Times New Roman" w:hAnsi="Times New Roman"/>
          <w:i/>
          <w:iCs/>
          <w:color w:val="000000"/>
          <w:sz w:val="24"/>
        </w:rPr>
        <w:t> (...)</w:t>
      </w:r>
      <w:r w:rsidRPr="009C2807">
        <w:rPr>
          <w:rFonts w:ascii="Times New Roman" w:hAnsi="Times New Roman"/>
          <w:color w:val="000000"/>
          <w:sz w:val="24"/>
        </w:rPr>
        <w:t> e também o TCU firmou entendimento de que </w:t>
      </w:r>
      <w:r w:rsidRPr="009C2807">
        <w:rPr>
          <w:rFonts w:ascii="Times New Roman" w:hAnsi="Times New Roman"/>
          <w:bCs/>
          <w:i/>
          <w:iCs/>
          <w:color w:val="000000"/>
          <w:sz w:val="24"/>
        </w:rPr>
        <w:t>“as compras devem ser estimadas para todo o exercício e há de ser preservada a modalidade correta para o objeto total</w:t>
      </w:r>
      <w:r w:rsidRPr="009C2807">
        <w:rPr>
          <w:rFonts w:ascii="Times New Roman" w:hAnsi="Times New Roman"/>
          <w:i/>
          <w:iCs/>
          <w:color w:val="000000"/>
          <w:sz w:val="24"/>
        </w:rPr>
        <w:t>, que agruparia todos os itens”.</w:t>
      </w:r>
    </w:p>
    <w:p w:rsidR="004E35F1" w:rsidRPr="009C2807" w:rsidRDefault="004E35F1" w:rsidP="004E35F1">
      <w:pPr>
        <w:widowControl w:val="0"/>
        <w:ind w:firstLine="1134"/>
        <w:jc w:val="both"/>
        <w:rPr>
          <w:rFonts w:ascii="Times New Roman" w:hAnsi="Times New Roman"/>
          <w:color w:val="000000"/>
          <w:sz w:val="24"/>
        </w:rPr>
      </w:pPr>
      <w:r w:rsidRPr="009C2807">
        <w:rPr>
          <w:rFonts w:ascii="Times New Roman" w:hAnsi="Times New Roman"/>
          <w:color w:val="000000"/>
          <w:sz w:val="24"/>
        </w:rPr>
        <w:t>Essa orientação foi consagrada também em publicação oficial do TCU intitulada Licitações e Contratos – Orientações Básicas, Brasília:</w:t>
      </w:r>
    </w:p>
    <w:p w:rsidR="004E35F1" w:rsidRPr="00C23FF7" w:rsidRDefault="004E35F1" w:rsidP="00C23FF7">
      <w:pPr>
        <w:widowControl w:val="0"/>
        <w:ind w:left="2268"/>
        <w:jc w:val="both"/>
        <w:rPr>
          <w:rFonts w:ascii="Times New Roman" w:hAnsi="Times New Roman"/>
          <w:i/>
          <w:iCs/>
          <w:color w:val="000000"/>
        </w:rPr>
      </w:pPr>
      <w:r w:rsidRPr="00083635">
        <w:rPr>
          <w:rFonts w:ascii="Times New Roman" w:hAnsi="Times New Roman"/>
          <w:i/>
          <w:iCs/>
          <w:color w:val="000000"/>
        </w:rPr>
        <w:t xml:space="preserve">“É vedado o fracionamento de despesa para adoção de dispensa de licitação ou modalidade de licitação menos rigorosa que a determinada para a totalidade do valor do objeto a ser licitado. Lembre-se fracionamento refere-se à </w:t>
      </w:r>
      <w:r w:rsidR="001B6552" w:rsidRPr="00083635">
        <w:rPr>
          <w:rFonts w:ascii="Times New Roman" w:hAnsi="Times New Roman"/>
          <w:i/>
          <w:iCs/>
          <w:color w:val="000000"/>
        </w:rPr>
        <w:t>despesa. ”</w:t>
      </w:r>
    </w:p>
    <w:p w:rsidR="004E35F1" w:rsidRPr="00C23FF7" w:rsidRDefault="004E35F1" w:rsidP="00C23FF7">
      <w:pPr>
        <w:widowControl w:val="0"/>
        <w:ind w:left="2268"/>
        <w:jc w:val="both"/>
        <w:rPr>
          <w:rFonts w:ascii="Times New Roman" w:hAnsi="Times New Roman"/>
          <w:i/>
          <w:color w:val="000000"/>
        </w:rPr>
      </w:pPr>
      <w:r w:rsidRPr="00083635">
        <w:rPr>
          <w:rFonts w:ascii="Times New Roman" w:hAnsi="Times New Roman"/>
          <w:i/>
          <w:color w:val="000000"/>
        </w:rPr>
        <w:t xml:space="preserve">“Atente para o fato de que, atingindo o limite legalmente fixado para dispensa de licitação, as demais contratações para serviços da mesma natureza deverão observar a obrigatoriedade da realização de certame licitatório, evitando a ocorrência de fracionamento de </w:t>
      </w:r>
      <w:r w:rsidR="001B6552" w:rsidRPr="00083635">
        <w:rPr>
          <w:rFonts w:ascii="Times New Roman" w:hAnsi="Times New Roman"/>
          <w:i/>
          <w:color w:val="000000"/>
        </w:rPr>
        <w:t>despesa. ”</w:t>
      </w:r>
      <w:r w:rsidRPr="00083635">
        <w:rPr>
          <w:rFonts w:ascii="Times New Roman" w:hAnsi="Times New Roman"/>
          <w:i/>
          <w:color w:val="000000"/>
        </w:rPr>
        <w:t xml:space="preserve"> </w:t>
      </w:r>
      <w:r w:rsidRPr="00083635">
        <w:rPr>
          <w:rFonts w:ascii="Times New Roman" w:hAnsi="Times New Roman"/>
          <w:i/>
          <w:iCs/>
          <w:color w:val="000000"/>
        </w:rPr>
        <w:t>Acórdão 73/2003 – Segunda Câmara. </w:t>
      </w:r>
    </w:p>
    <w:p w:rsidR="004E35F1" w:rsidRPr="00C23FF7" w:rsidRDefault="004E35F1" w:rsidP="00C23FF7">
      <w:pPr>
        <w:widowControl w:val="0"/>
        <w:ind w:left="2268"/>
        <w:jc w:val="both"/>
        <w:rPr>
          <w:rFonts w:ascii="Times New Roman" w:hAnsi="Times New Roman"/>
          <w:i/>
          <w:iCs/>
          <w:color w:val="000000"/>
        </w:rPr>
      </w:pPr>
      <w:r w:rsidRPr="00083635">
        <w:rPr>
          <w:rFonts w:ascii="Times New Roman" w:hAnsi="Times New Roman"/>
          <w:i/>
          <w:color w:val="000000"/>
        </w:rPr>
        <w:t xml:space="preserve">“Realize, nas compras a serem efetuadas, prévio planejamento para todo o exercício, licitando em conjunto materiais de uma mesma </w:t>
      </w:r>
      <w:r w:rsidRPr="00083635">
        <w:rPr>
          <w:rFonts w:ascii="Times New Roman" w:hAnsi="Times New Roman"/>
          <w:i/>
          <w:color w:val="000000"/>
        </w:rPr>
        <w:lastRenderedPageBreak/>
        <w:t xml:space="preserve">espécie, cujos potenciais fornecedores sejam </w:t>
      </w:r>
      <w:r w:rsidR="001B6552" w:rsidRPr="00083635">
        <w:rPr>
          <w:rFonts w:ascii="Times New Roman" w:hAnsi="Times New Roman"/>
          <w:i/>
          <w:color w:val="000000"/>
        </w:rPr>
        <w:t>os mesmos</w:t>
      </w:r>
      <w:r w:rsidRPr="00083635">
        <w:rPr>
          <w:rFonts w:ascii="Times New Roman" w:hAnsi="Times New Roman"/>
          <w:i/>
          <w:color w:val="000000"/>
        </w:rPr>
        <w:t>, de forma a racionalizá-las e evitar a fuga da modalidade licitatória prevista no regulamento próprio por fragmentação de despesas” Acó</w:t>
      </w:r>
      <w:r w:rsidRPr="00083635">
        <w:rPr>
          <w:rFonts w:ascii="Times New Roman" w:hAnsi="Times New Roman"/>
          <w:i/>
          <w:iCs/>
          <w:color w:val="000000"/>
        </w:rPr>
        <w:t>rdão 407/2008 – Primeira Câmara.</w:t>
      </w:r>
    </w:p>
    <w:p w:rsidR="004E35F1" w:rsidRPr="00BB554C" w:rsidRDefault="004E35F1" w:rsidP="004E35F1">
      <w:pPr>
        <w:pStyle w:val="Corpodetexto3"/>
        <w:widowControl w:val="0"/>
        <w:outlineLvl w:val="0"/>
        <w:rPr>
          <w:b/>
          <w:szCs w:val="22"/>
        </w:rPr>
      </w:pPr>
      <w:r w:rsidRPr="00BB554C">
        <w:rPr>
          <w:b/>
          <w:szCs w:val="22"/>
        </w:rPr>
        <w:t xml:space="preserve">V </w:t>
      </w:r>
      <w:r w:rsidRPr="00BB554C">
        <w:rPr>
          <w:b/>
          <w:i/>
          <w:szCs w:val="22"/>
        </w:rPr>
        <w:t xml:space="preserve">– </w:t>
      </w:r>
      <w:r w:rsidRPr="00BB554C">
        <w:rPr>
          <w:b/>
          <w:szCs w:val="22"/>
        </w:rPr>
        <w:t>DA RAZÃO DA ESCOLHA DO FORNECEDOR OU EXECUTANTE</w:t>
      </w:r>
    </w:p>
    <w:p w:rsidR="004E35F1" w:rsidRPr="00083635" w:rsidRDefault="004E35F1" w:rsidP="004E35F1">
      <w:pPr>
        <w:pStyle w:val="Corpodetexto3"/>
        <w:widowControl w:val="0"/>
        <w:outlineLvl w:val="0"/>
        <w:rPr>
          <w:sz w:val="22"/>
          <w:szCs w:val="22"/>
        </w:rPr>
      </w:pPr>
    </w:p>
    <w:p w:rsidR="004E35F1" w:rsidRPr="009C2807" w:rsidRDefault="004E35F1" w:rsidP="004E35F1">
      <w:pPr>
        <w:pStyle w:val="Corpodetexto3"/>
        <w:widowControl w:val="0"/>
        <w:ind w:firstLine="1134"/>
        <w:outlineLvl w:val="0"/>
        <w:rPr>
          <w:color w:val="FF0000"/>
          <w:szCs w:val="22"/>
        </w:rPr>
      </w:pPr>
      <w:r w:rsidRPr="009C2807">
        <w:rPr>
          <w:color w:val="FF0000"/>
          <w:szCs w:val="22"/>
        </w:rPr>
        <w:t xml:space="preserve">Em análise aos presentes autos, observamos que foram realizadas pesquisas de preços, tendo a Empresa </w:t>
      </w:r>
      <w:r w:rsidR="00B2527E" w:rsidRPr="009C2807">
        <w:rPr>
          <w:color w:val="FF0000"/>
          <w:szCs w:val="22"/>
        </w:rPr>
        <w:t>XXXXXXXXXXXXXXX</w:t>
      </w:r>
      <w:r w:rsidRPr="009C2807">
        <w:rPr>
          <w:color w:val="FF0000"/>
          <w:szCs w:val="22"/>
        </w:rPr>
        <w:t xml:space="preserve"> apresentado preços compatíveis com os praticados nos demais órgãos da Administração.</w:t>
      </w:r>
    </w:p>
    <w:p w:rsidR="004E35F1" w:rsidRPr="009C2807" w:rsidRDefault="004E35F1" w:rsidP="004E35F1">
      <w:pPr>
        <w:pStyle w:val="Corpodetexto3"/>
        <w:widowControl w:val="0"/>
        <w:outlineLvl w:val="0"/>
        <w:rPr>
          <w:szCs w:val="22"/>
        </w:rPr>
      </w:pPr>
    </w:p>
    <w:p w:rsidR="004E35F1" w:rsidRPr="009C2807" w:rsidRDefault="004E35F1" w:rsidP="004E35F1">
      <w:pPr>
        <w:pStyle w:val="Corpodetexto3"/>
        <w:widowControl w:val="0"/>
        <w:ind w:firstLine="1134"/>
        <w:outlineLvl w:val="0"/>
        <w:rPr>
          <w:color w:val="FF0000"/>
          <w:szCs w:val="22"/>
        </w:rPr>
      </w:pPr>
      <w:r w:rsidRPr="009C2807">
        <w:rPr>
          <w:color w:val="FF0000"/>
          <w:szCs w:val="22"/>
        </w:rPr>
        <w:t xml:space="preserve">A prestação de serviço disponibilizado pela empresa supracitada é compatível e não apresenta diferença que venha a influenciar na escolha, ficando </w:t>
      </w:r>
      <w:proofErr w:type="spellStart"/>
      <w:r w:rsidRPr="009C2807">
        <w:rPr>
          <w:color w:val="FF0000"/>
          <w:szCs w:val="22"/>
        </w:rPr>
        <w:t>esta</w:t>
      </w:r>
      <w:proofErr w:type="spellEnd"/>
      <w:r w:rsidRPr="009C2807">
        <w:rPr>
          <w:color w:val="FF0000"/>
          <w:szCs w:val="22"/>
        </w:rPr>
        <w:t xml:space="preserve"> vinculada apenas à verificação do critério do menor preço.</w:t>
      </w:r>
    </w:p>
    <w:p w:rsidR="004E35F1" w:rsidRPr="009C2807" w:rsidRDefault="004E35F1" w:rsidP="004E35F1">
      <w:pPr>
        <w:pStyle w:val="Corpodetexto3"/>
        <w:widowControl w:val="0"/>
        <w:outlineLvl w:val="0"/>
        <w:rPr>
          <w:szCs w:val="22"/>
        </w:rPr>
      </w:pPr>
    </w:p>
    <w:p w:rsidR="004E35F1" w:rsidRPr="00083635" w:rsidRDefault="004E35F1" w:rsidP="004E35F1">
      <w:pPr>
        <w:pStyle w:val="Corpodetexto3"/>
        <w:widowControl w:val="0"/>
        <w:outlineLvl w:val="0"/>
        <w:rPr>
          <w:sz w:val="22"/>
          <w:szCs w:val="22"/>
        </w:rPr>
      </w:pPr>
    </w:p>
    <w:p w:rsidR="004E35F1" w:rsidRPr="00BB554C" w:rsidRDefault="004E35F1" w:rsidP="004E35F1">
      <w:pPr>
        <w:pStyle w:val="Corpodetexto3"/>
        <w:widowControl w:val="0"/>
        <w:outlineLvl w:val="0"/>
        <w:rPr>
          <w:b/>
          <w:szCs w:val="22"/>
        </w:rPr>
      </w:pPr>
      <w:r w:rsidRPr="00BB554C">
        <w:rPr>
          <w:b/>
          <w:szCs w:val="22"/>
        </w:rPr>
        <w:t>V</w:t>
      </w:r>
      <w:r w:rsidR="005B57B2">
        <w:rPr>
          <w:b/>
          <w:szCs w:val="22"/>
        </w:rPr>
        <w:t>I</w:t>
      </w:r>
      <w:r w:rsidRPr="00BB554C">
        <w:rPr>
          <w:b/>
          <w:szCs w:val="22"/>
        </w:rPr>
        <w:t xml:space="preserve"> – DAS COTAÇÕES</w:t>
      </w:r>
    </w:p>
    <w:p w:rsidR="004E35F1" w:rsidRPr="00083635" w:rsidRDefault="004E35F1" w:rsidP="004E35F1">
      <w:pPr>
        <w:pStyle w:val="Corpodetexto3"/>
        <w:widowControl w:val="0"/>
        <w:outlineLvl w:val="0"/>
        <w:rPr>
          <w:sz w:val="22"/>
          <w:szCs w:val="22"/>
        </w:rPr>
      </w:pPr>
    </w:p>
    <w:p w:rsidR="004E35F1" w:rsidRPr="009C2807" w:rsidRDefault="004E35F1" w:rsidP="00A3285E">
      <w:pPr>
        <w:pStyle w:val="Corpodetexto3"/>
        <w:widowControl w:val="0"/>
        <w:ind w:firstLine="1134"/>
        <w:outlineLvl w:val="0"/>
        <w:rPr>
          <w:szCs w:val="24"/>
        </w:rPr>
      </w:pPr>
      <w:r w:rsidRPr="009C2807">
        <w:rPr>
          <w:szCs w:val="24"/>
        </w:rPr>
        <w:t>No processo</w:t>
      </w:r>
      <w:r w:rsidR="009C2807">
        <w:rPr>
          <w:szCs w:val="24"/>
        </w:rPr>
        <w:t xml:space="preserve"> em epígrafe, verificou-se a </w:t>
      </w:r>
      <w:r w:rsidRPr="009C2807">
        <w:rPr>
          <w:szCs w:val="24"/>
        </w:rPr>
        <w:t>necessidade de cotações devido à natureza do objeto do procedimento.</w:t>
      </w:r>
    </w:p>
    <w:p w:rsidR="004E35F1" w:rsidRPr="009C2807" w:rsidRDefault="004E35F1" w:rsidP="00A3285E">
      <w:pPr>
        <w:pStyle w:val="Corpodetexto3"/>
        <w:widowControl w:val="0"/>
        <w:ind w:firstLine="1134"/>
        <w:outlineLvl w:val="0"/>
        <w:rPr>
          <w:szCs w:val="24"/>
        </w:rPr>
      </w:pPr>
    </w:p>
    <w:p w:rsidR="004E35F1" w:rsidRPr="009C2807" w:rsidRDefault="004E35F1" w:rsidP="00A3285E">
      <w:pPr>
        <w:pStyle w:val="Corpodetexto3"/>
        <w:widowControl w:val="0"/>
        <w:ind w:firstLine="1134"/>
        <w:outlineLvl w:val="0"/>
        <w:rPr>
          <w:color w:val="FF0000"/>
          <w:szCs w:val="24"/>
        </w:rPr>
      </w:pPr>
      <w:r w:rsidRPr="009C2807">
        <w:rPr>
          <w:color w:val="FF0000"/>
          <w:szCs w:val="24"/>
        </w:rPr>
        <w:t xml:space="preserve">Assim, diante do exposto nos documentos o valor médio de mercado praticado </w:t>
      </w:r>
      <w:r w:rsidR="009C2807">
        <w:rPr>
          <w:color w:val="FF0000"/>
          <w:szCs w:val="24"/>
        </w:rPr>
        <w:t xml:space="preserve">é </w:t>
      </w:r>
      <w:r w:rsidRPr="009C2807">
        <w:rPr>
          <w:color w:val="FF0000"/>
          <w:szCs w:val="24"/>
        </w:rPr>
        <w:t xml:space="preserve">igual a R$ </w:t>
      </w:r>
      <w:r w:rsidR="000A294D" w:rsidRPr="009C2807">
        <w:rPr>
          <w:color w:val="FF0000"/>
          <w:szCs w:val="24"/>
        </w:rPr>
        <w:t>XXXXX</w:t>
      </w:r>
      <w:r w:rsidRPr="009C2807">
        <w:rPr>
          <w:color w:val="FF0000"/>
          <w:szCs w:val="24"/>
        </w:rPr>
        <w:t xml:space="preserve"> (</w:t>
      </w:r>
      <w:r w:rsidR="000A294D" w:rsidRPr="009C2807">
        <w:rPr>
          <w:color w:val="FF0000"/>
          <w:szCs w:val="24"/>
        </w:rPr>
        <w:t>XXXXXXXXXXXXXXXXX</w:t>
      </w:r>
      <w:r w:rsidRPr="009C2807">
        <w:rPr>
          <w:color w:val="FF0000"/>
          <w:szCs w:val="24"/>
        </w:rPr>
        <w:t>).</w:t>
      </w:r>
    </w:p>
    <w:p w:rsidR="004E35F1" w:rsidRPr="009C2807" w:rsidRDefault="004E35F1" w:rsidP="00A3285E">
      <w:pPr>
        <w:pStyle w:val="Corpodetexto3"/>
        <w:widowControl w:val="0"/>
        <w:ind w:firstLine="1134"/>
        <w:outlineLvl w:val="0"/>
        <w:rPr>
          <w:szCs w:val="24"/>
        </w:rPr>
      </w:pPr>
    </w:p>
    <w:p w:rsidR="004E35F1" w:rsidRPr="009C2807" w:rsidRDefault="004E35F1" w:rsidP="00A3285E">
      <w:pPr>
        <w:pStyle w:val="Corpodetexto3"/>
        <w:widowControl w:val="0"/>
        <w:ind w:firstLine="1134"/>
        <w:outlineLvl w:val="0"/>
        <w:rPr>
          <w:color w:val="FF0000"/>
          <w:szCs w:val="24"/>
        </w:rPr>
      </w:pPr>
      <w:r w:rsidRPr="009C2807">
        <w:rPr>
          <w:color w:val="FF0000"/>
          <w:szCs w:val="24"/>
        </w:rPr>
        <w:t xml:space="preserve">O valor ofertado a esta Autarquia foi de R$ </w:t>
      </w:r>
      <w:proofErr w:type="gramStart"/>
      <w:r w:rsidR="006E2435">
        <w:rPr>
          <w:color w:val="FF0000"/>
          <w:szCs w:val="24"/>
        </w:rPr>
        <w:t>XXXX,XX</w:t>
      </w:r>
      <w:proofErr w:type="gramEnd"/>
      <w:r w:rsidR="006E2435">
        <w:rPr>
          <w:color w:val="FF0000"/>
          <w:szCs w:val="24"/>
        </w:rPr>
        <w:t xml:space="preserve"> (</w:t>
      </w:r>
      <w:proofErr w:type="spellStart"/>
      <w:r w:rsidR="006E2435">
        <w:rPr>
          <w:color w:val="FF0000"/>
          <w:szCs w:val="24"/>
        </w:rPr>
        <w:t>xxxxxxxxxxxxxxxxxxxx</w:t>
      </w:r>
      <w:proofErr w:type="spellEnd"/>
      <w:r w:rsidR="009C2807">
        <w:rPr>
          <w:color w:val="FF0000"/>
          <w:szCs w:val="24"/>
        </w:rPr>
        <w:t>).</w:t>
      </w:r>
    </w:p>
    <w:p w:rsidR="004E35F1" w:rsidRPr="009C2807" w:rsidRDefault="004E35F1" w:rsidP="00A3285E">
      <w:pPr>
        <w:pStyle w:val="Corpodetexto3"/>
        <w:widowControl w:val="0"/>
        <w:ind w:firstLine="1134"/>
        <w:outlineLvl w:val="0"/>
        <w:rPr>
          <w:color w:val="FF0000"/>
          <w:szCs w:val="24"/>
        </w:rPr>
      </w:pPr>
    </w:p>
    <w:p w:rsidR="004E35F1" w:rsidRPr="009C2807" w:rsidRDefault="004E35F1" w:rsidP="00A3285E">
      <w:pPr>
        <w:pStyle w:val="Corpodetexto3"/>
        <w:widowControl w:val="0"/>
        <w:ind w:firstLine="1134"/>
        <w:outlineLvl w:val="0"/>
        <w:rPr>
          <w:color w:val="FF0000"/>
          <w:szCs w:val="24"/>
        </w:rPr>
      </w:pPr>
      <w:r w:rsidRPr="009C2807">
        <w:rPr>
          <w:color w:val="FF0000"/>
          <w:szCs w:val="24"/>
        </w:rPr>
        <w:t xml:space="preserve">Comparadamente a pesquisa realizada, demonstra-se que a contratação está dentro do valor de mercado, </w:t>
      </w:r>
      <w:r w:rsidR="006E2435">
        <w:rPr>
          <w:color w:val="FF0000"/>
          <w:szCs w:val="24"/>
        </w:rPr>
        <w:t>conforme anexos</w:t>
      </w:r>
      <w:r w:rsidRPr="009C2807">
        <w:rPr>
          <w:color w:val="FF0000"/>
          <w:szCs w:val="24"/>
        </w:rPr>
        <w:t>.</w:t>
      </w:r>
    </w:p>
    <w:p w:rsidR="004E35F1" w:rsidRPr="00083635" w:rsidRDefault="004E35F1" w:rsidP="004E35F1">
      <w:pPr>
        <w:pStyle w:val="Corpodetexto3"/>
        <w:widowControl w:val="0"/>
        <w:outlineLvl w:val="0"/>
        <w:rPr>
          <w:sz w:val="22"/>
          <w:szCs w:val="22"/>
        </w:rPr>
      </w:pPr>
    </w:p>
    <w:p w:rsidR="004E35F1" w:rsidRPr="00083635" w:rsidRDefault="004E35F1" w:rsidP="004E35F1">
      <w:pPr>
        <w:pStyle w:val="Corpodetexto3"/>
        <w:widowControl w:val="0"/>
        <w:outlineLvl w:val="0"/>
        <w:rPr>
          <w:sz w:val="22"/>
          <w:szCs w:val="22"/>
        </w:rPr>
      </w:pPr>
    </w:p>
    <w:p w:rsidR="004E35F1" w:rsidRPr="00BB554C" w:rsidRDefault="004E35F1" w:rsidP="004E35F1">
      <w:pPr>
        <w:pStyle w:val="Corpodetexto3"/>
        <w:widowControl w:val="0"/>
        <w:outlineLvl w:val="0"/>
        <w:rPr>
          <w:b/>
          <w:szCs w:val="22"/>
        </w:rPr>
      </w:pPr>
      <w:r w:rsidRPr="00BB554C">
        <w:rPr>
          <w:b/>
          <w:szCs w:val="22"/>
        </w:rPr>
        <w:t>V</w:t>
      </w:r>
      <w:r w:rsidR="005B57B2">
        <w:rPr>
          <w:b/>
          <w:szCs w:val="22"/>
        </w:rPr>
        <w:t>I</w:t>
      </w:r>
      <w:r w:rsidRPr="00BB554C">
        <w:rPr>
          <w:b/>
          <w:szCs w:val="22"/>
        </w:rPr>
        <w:t>I – DA JUSTIFICATIVA DO PREÇO</w:t>
      </w:r>
    </w:p>
    <w:p w:rsidR="004E35F1" w:rsidRPr="00083635" w:rsidRDefault="004E35F1" w:rsidP="004E35F1">
      <w:pPr>
        <w:pStyle w:val="Corpodetexto3"/>
        <w:widowControl w:val="0"/>
        <w:outlineLvl w:val="0"/>
        <w:rPr>
          <w:sz w:val="22"/>
          <w:szCs w:val="22"/>
        </w:rPr>
      </w:pPr>
    </w:p>
    <w:p w:rsidR="004E35F1" w:rsidRPr="00C22080" w:rsidRDefault="004E35F1" w:rsidP="004E35F1">
      <w:pPr>
        <w:pStyle w:val="Corpodetexto3"/>
        <w:widowControl w:val="0"/>
        <w:ind w:firstLine="1134"/>
        <w:outlineLvl w:val="0"/>
        <w:rPr>
          <w:szCs w:val="22"/>
        </w:rPr>
      </w:pPr>
      <w:r w:rsidRPr="00C22080">
        <w:rPr>
          <w:szCs w:val="22"/>
        </w:rPr>
        <w:t xml:space="preserve">O critério do menor preço deve presidir a escolha do adjudicatário direto como regra geral, e o meio de </w:t>
      </w:r>
      <w:r w:rsidR="00C22080" w:rsidRPr="00C22080">
        <w:rPr>
          <w:szCs w:val="22"/>
        </w:rPr>
        <w:t>aferi-lo</w:t>
      </w:r>
      <w:r w:rsidRPr="00C22080">
        <w:rPr>
          <w:szCs w:val="22"/>
        </w:rPr>
        <w:t xml:space="preserve"> está em juntar aos autos do respectivo processo</w:t>
      </w:r>
      <w:r w:rsidR="001D13CE">
        <w:rPr>
          <w:szCs w:val="22"/>
        </w:rPr>
        <w:t xml:space="preserve"> pelo menos 03 (três) propostas, conforme a Instrução Normativa Nº 3, de 20 de abril de 2017.</w:t>
      </w:r>
    </w:p>
    <w:p w:rsidR="004E35F1" w:rsidRPr="00C22080" w:rsidRDefault="004E35F1" w:rsidP="004E35F1">
      <w:pPr>
        <w:pStyle w:val="Corpodetexto3"/>
        <w:widowControl w:val="0"/>
        <w:ind w:firstLine="1134"/>
        <w:outlineLvl w:val="0"/>
        <w:rPr>
          <w:szCs w:val="22"/>
        </w:rPr>
      </w:pPr>
      <w:r w:rsidRPr="00C22080">
        <w:rPr>
          <w:szCs w:val="22"/>
        </w:rPr>
        <w:t xml:space="preserve">A despeito desta assertiva, o TCU já se manifestou: </w:t>
      </w:r>
    </w:p>
    <w:p w:rsidR="004E35F1" w:rsidRPr="00C22080" w:rsidRDefault="004E35F1" w:rsidP="004E35F1">
      <w:pPr>
        <w:pStyle w:val="Corpodetexto3"/>
        <w:widowControl w:val="0"/>
        <w:outlineLvl w:val="0"/>
        <w:rPr>
          <w:szCs w:val="22"/>
        </w:rPr>
      </w:pPr>
    </w:p>
    <w:p w:rsidR="004E35F1" w:rsidRPr="001D13CE" w:rsidRDefault="004E35F1" w:rsidP="001D13CE">
      <w:pPr>
        <w:pStyle w:val="Corpodetexto3"/>
        <w:widowControl w:val="0"/>
        <w:ind w:left="2268"/>
        <w:outlineLvl w:val="0"/>
        <w:rPr>
          <w:i/>
          <w:sz w:val="22"/>
          <w:szCs w:val="22"/>
        </w:rPr>
      </w:pPr>
      <w:r w:rsidRPr="001D13CE">
        <w:rPr>
          <w:i/>
          <w:sz w:val="22"/>
          <w:szCs w:val="22"/>
        </w:rPr>
        <w:t>“</w:t>
      </w:r>
      <w:proofErr w:type="gramStart"/>
      <w:r w:rsidRPr="001D13CE">
        <w:rPr>
          <w:i/>
          <w:sz w:val="22"/>
          <w:szCs w:val="22"/>
        </w:rPr>
        <w:t>adotar</w:t>
      </w:r>
      <w:proofErr w:type="gramEnd"/>
      <w:r w:rsidRPr="001D13CE">
        <w:rPr>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4E35F1" w:rsidRPr="001D13CE" w:rsidRDefault="004E35F1" w:rsidP="001D13CE">
      <w:pPr>
        <w:pStyle w:val="Corpodetexto3"/>
        <w:widowControl w:val="0"/>
        <w:ind w:left="2268"/>
        <w:outlineLvl w:val="0"/>
        <w:rPr>
          <w:i/>
          <w:sz w:val="22"/>
          <w:szCs w:val="22"/>
        </w:rPr>
      </w:pPr>
      <w:r w:rsidRPr="001D13CE">
        <w:rPr>
          <w:i/>
          <w:iCs/>
          <w:sz w:val="22"/>
          <w:szCs w:val="22"/>
        </w:rPr>
        <w:t xml:space="preserve">“Proceda, quando da realização de licitação, </w:t>
      </w:r>
      <w:r w:rsidRPr="001D13CE">
        <w:rPr>
          <w:bCs/>
          <w:i/>
          <w:iCs/>
          <w:sz w:val="22"/>
          <w:szCs w:val="22"/>
        </w:rPr>
        <w:t xml:space="preserve">dispensa ou </w:t>
      </w:r>
      <w:r w:rsidRPr="001D13CE">
        <w:rPr>
          <w:bCs/>
          <w:i/>
          <w:iCs/>
          <w:sz w:val="22"/>
          <w:szCs w:val="22"/>
        </w:rPr>
        <w:lastRenderedPageBreak/>
        <w:t>inexigibilidade</w:t>
      </w:r>
      <w:r w:rsidRPr="001D13CE">
        <w:rPr>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1D13CE">
        <w:rPr>
          <w:i/>
          <w:iCs/>
          <w:sz w:val="22"/>
          <w:szCs w:val="22"/>
        </w:rPr>
        <w:t>(...).”</w:t>
      </w:r>
      <w:proofErr w:type="gramEnd"/>
      <w:r w:rsidRPr="001D13CE">
        <w:rPr>
          <w:i/>
          <w:iCs/>
          <w:sz w:val="22"/>
          <w:szCs w:val="22"/>
        </w:rPr>
        <w:t xml:space="preserve"> </w:t>
      </w:r>
      <w:r w:rsidRPr="001D13CE">
        <w:rPr>
          <w:bCs/>
          <w:i/>
          <w:sz w:val="22"/>
          <w:szCs w:val="22"/>
        </w:rPr>
        <w:t>Acórdão 1705/2003 Plenário.</w:t>
      </w:r>
    </w:p>
    <w:p w:rsidR="004E35F1" w:rsidRPr="001D13CE" w:rsidRDefault="004E35F1" w:rsidP="001D13CE">
      <w:pPr>
        <w:pStyle w:val="Corpodetexto3"/>
        <w:widowControl w:val="0"/>
        <w:ind w:left="2268"/>
        <w:outlineLvl w:val="0"/>
        <w:rPr>
          <w:sz w:val="22"/>
          <w:szCs w:val="22"/>
        </w:rPr>
      </w:pPr>
    </w:p>
    <w:p w:rsidR="004E35F1" w:rsidRPr="001D13CE" w:rsidRDefault="004E35F1" w:rsidP="004E35F1">
      <w:pPr>
        <w:pStyle w:val="Corpodetexto3"/>
        <w:widowControl w:val="0"/>
        <w:ind w:firstLine="1134"/>
        <w:outlineLvl w:val="0"/>
        <w:rPr>
          <w:szCs w:val="22"/>
        </w:rPr>
      </w:pPr>
      <w:r w:rsidRPr="001D13CE">
        <w:rPr>
          <w:szCs w:val="22"/>
        </w:rPr>
        <w:t>No caso em questão verificamos, como já foi dito, trata-se de situação pertinente a Dispensa de Licitação.</w:t>
      </w:r>
    </w:p>
    <w:p w:rsidR="004E35F1" w:rsidRPr="001D13CE" w:rsidRDefault="004E35F1" w:rsidP="004E35F1">
      <w:pPr>
        <w:pStyle w:val="Corpodetexto3"/>
        <w:widowControl w:val="0"/>
        <w:outlineLvl w:val="0"/>
        <w:rPr>
          <w:szCs w:val="22"/>
        </w:rPr>
      </w:pPr>
    </w:p>
    <w:p w:rsidR="004E35F1" w:rsidRPr="001D13CE" w:rsidRDefault="004E35F1" w:rsidP="004E35F1">
      <w:pPr>
        <w:pStyle w:val="Corpodetexto3"/>
        <w:widowControl w:val="0"/>
        <w:ind w:firstLine="1134"/>
        <w:outlineLvl w:val="0"/>
        <w:rPr>
          <w:szCs w:val="22"/>
        </w:rPr>
      </w:pPr>
      <w:r w:rsidRPr="001D13CE">
        <w:rPr>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w:t>
      </w:r>
      <w:r w:rsidR="001D13CE">
        <w:rPr>
          <w:szCs w:val="22"/>
        </w:rPr>
        <w:t>,</w:t>
      </w:r>
      <w:r w:rsidRPr="001D13CE">
        <w:rPr>
          <w:szCs w:val="22"/>
        </w:rPr>
        <w:t xml:space="preserve"> no mínimo</w:t>
      </w:r>
      <w:r w:rsidR="001D13CE">
        <w:rPr>
          <w:szCs w:val="22"/>
        </w:rPr>
        <w:t>,</w:t>
      </w:r>
      <w:r w:rsidRPr="001D13CE">
        <w:rPr>
          <w:szCs w:val="22"/>
        </w:rPr>
        <w:t xml:space="preserve"> três licitantes.</w:t>
      </w:r>
    </w:p>
    <w:p w:rsidR="004E35F1" w:rsidRPr="001D13CE" w:rsidRDefault="004E35F1" w:rsidP="004E35F1">
      <w:pPr>
        <w:pStyle w:val="Corpodetexto3"/>
        <w:widowControl w:val="0"/>
        <w:outlineLvl w:val="0"/>
        <w:rPr>
          <w:szCs w:val="22"/>
        </w:rPr>
      </w:pPr>
    </w:p>
    <w:p w:rsidR="004E35F1" w:rsidRPr="001D13CE" w:rsidRDefault="004E35F1" w:rsidP="004E35F1">
      <w:pPr>
        <w:pStyle w:val="Corpodetexto3"/>
        <w:widowControl w:val="0"/>
        <w:ind w:firstLine="1134"/>
        <w:outlineLvl w:val="0"/>
        <w:rPr>
          <w:szCs w:val="22"/>
        </w:rPr>
      </w:pPr>
      <w:r w:rsidRPr="001D13CE">
        <w:rPr>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E35F1" w:rsidRPr="001D13CE" w:rsidRDefault="004E35F1" w:rsidP="004E35F1">
      <w:pPr>
        <w:pStyle w:val="Corpodetexto3"/>
        <w:widowControl w:val="0"/>
        <w:outlineLvl w:val="0"/>
        <w:rPr>
          <w:szCs w:val="22"/>
        </w:rPr>
      </w:pPr>
    </w:p>
    <w:p w:rsidR="004E35F1" w:rsidRPr="001D13CE" w:rsidRDefault="004E35F1" w:rsidP="004E35F1">
      <w:pPr>
        <w:pStyle w:val="Corpodetexto3"/>
        <w:widowControl w:val="0"/>
        <w:ind w:firstLine="1134"/>
        <w:outlineLvl w:val="0"/>
        <w:rPr>
          <w:szCs w:val="22"/>
        </w:rPr>
      </w:pPr>
      <w:r w:rsidRPr="001D13CE">
        <w:rPr>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4E35F1" w:rsidRPr="001D13CE" w:rsidRDefault="004E35F1" w:rsidP="004E35F1">
      <w:pPr>
        <w:pStyle w:val="Corpodetexto3"/>
        <w:widowControl w:val="0"/>
        <w:outlineLvl w:val="0"/>
        <w:rPr>
          <w:szCs w:val="22"/>
        </w:rPr>
      </w:pPr>
    </w:p>
    <w:p w:rsidR="004E35F1" w:rsidRPr="00083635" w:rsidRDefault="004E35F1" w:rsidP="004E35F1">
      <w:pPr>
        <w:pStyle w:val="Corpodetexto3"/>
        <w:widowControl w:val="0"/>
        <w:outlineLvl w:val="0"/>
        <w:rPr>
          <w:sz w:val="22"/>
          <w:szCs w:val="22"/>
        </w:rPr>
      </w:pPr>
    </w:p>
    <w:p w:rsidR="004E35F1" w:rsidRPr="00BB554C" w:rsidRDefault="004E35F1" w:rsidP="004E35F1">
      <w:pPr>
        <w:pStyle w:val="Corpodetexto3"/>
        <w:widowControl w:val="0"/>
        <w:outlineLvl w:val="0"/>
        <w:rPr>
          <w:b/>
          <w:szCs w:val="22"/>
        </w:rPr>
      </w:pPr>
      <w:r w:rsidRPr="00BB554C">
        <w:rPr>
          <w:b/>
          <w:szCs w:val="22"/>
        </w:rPr>
        <w:t>V</w:t>
      </w:r>
      <w:r w:rsidR="005B57B2">
        <w:rPr>
          <w:b/>
          <w:szCs w:val="22"/>
        </w:rPr>
        <w:t>I</w:t>
      </w:r>
      <w:r w:rsidRPr="00BB554C">
        <w:rPr>
          <w:b/>
          <w:szCs w:val="22"/>
        </w:rPr>
        <w:t xml:space="preserve">II – DA </w:t>
      </w:r>
      <w:r w:rsidR="003D5756">
        <w:rPr>
          <w:b/>
          <w:szCs w:val="22"/>
        </w:rPr>
        <w:t>SELEÇÃO</w:t>
      </w:r>
    </w:p>
    <w:p w:rsidR="004E35F1" w:rsidRPr="00083635" w:rsidRDefault="004E35F1" w:rsidP="004E35F1">
      <w:pPr>
        <w:pStyle w:val="Corpodetexto3"/>
        <w:widowControl w:val="0"/>
        <w:outlineLvl w:val="0"/>
        <w:rPr>
          <w:sz w:val="22"/>
          <w:szCs w:val="22"/>
        </w:rPr>
      </w:pPr>
    </w:p>
    <w:p w:rsidR="004E35F1" w:rsidRPr="00BB554C" w:rsidRDefault="004E35F1" w:rsidP="004E35F1">
      <w:pPr>
        <w:pStyle w:val="Corpodetexto3"/>
        <w:widowControl w:val="0"/>
        <w:ind w:firstLine="1134"/>
        <w:outlineLvl w:val="0"/>
        <w:rPr>
          <w:color w:val="FF0000"/>
          <w:szCs w:val="24"/>
        </w:rPr>
      </w:pPr>
      <w:r w:rsidRPr="00BB554C">
        <w:rPr>
          <w:color w:val="FF0000"/>
          <w:szCs w:val="24"/>
        </w:rPr>
        <w:t xml:space="preserve">A empresa </w:t>
      </w:r>
      <w:r w:rsidR="003D5756">
        <w:rPr>
          <w:color w:val="FF0000"/>
          <w:szCs w:val="24"/>
        </w:rPr>
        <w:t>selecionada</w:t>
      </w:r>
      <w:r w:rsidRPr="00BB554C">
        <w:rPr>
          <w:color w:val="FF0000"/>
          <w:szCs w:val="24"/>
        </w:rPr>
        <w:t xml:space="preserve"> neste processo para sacramentar a contratação dos serviços pretendidos, foi:</w:t>
      </w:r>
    </w:p>
    <w:p w:rsidR="004E35F1" w:rsidRPr="00BB554C" w:rsidRDefault="007D349F" w:rsidP="004E35F1">
      <w:pPr>
        <w:pStyle w:val="Corpodetexto3"/>
        <w:widowControl w:val="0"/>
        <w:numPr>
          <w:ilvl w:val="0"/>
          <w:numId w:val="5"/>
        </w:numPr>
        <w:tabs>
          <w:tab w:val="num" w:pos="1843"/>
        </w:tabs>
        <w:ind w:left="1843" w:hanging="403"/>
        <w:outlineLvl w:val="0"/>
        <w:rPr>
          <w:bCs/>
          <w:color w:val="FF0000"/>
          <w:szCs w:val="24"/>
        </w:rPr>
      </w:pPr>
      <w:r w:rsidRPr="00BB554C">
        <w:rPr>
          <w:b/>
          <w:bCs/>
          <w:color w:val="FF0000"/>
          <w:szCs w:val="24"/>
        </w:rPr>
        <w:t>XXXXXX</w:t>
      </w:r>
      <w:r w:rsidR="004E35F1" w:rsidRPr="00BB554C">
        <w:rPr>
          <w:bCs/>
          <w:color w:val="FF0000"/>
          <w:szCs w:val="24"/>
        </w:rPr>
        <w:t xml:space="preserve"> – </w:t>
      </w:r>
      <w:r w:rsidRPr="00BB554C">
        <w:rPr>
          <w:bCs/>
          <w:color w:val="FF0000"/>
          <w:szCs w:val="24"/>
        </w:rPr>
        <w:t>ENDEREÇO</w:t>
      </w:r>
      <w:r w:rsidR="004E35F1" w:rsidRPr="00BB554C">
        <w:rPr>
          <w:bCs/>
          <w:color w:val="FF0000"/>
          <w:szCs w:val="24"/>
        </w:rPr>
        <w:t xml:space="preserve">, inscrito no CNPJ sob o nº </w:t>
      </w:r>
      <w:r w:rsidRPr="00BB554C">
        <w:rPr>
          <w:bCs/>
          <w:color w:val="FF0000"/>
          <w:szCs w:val="24"/>
        </w:rPr>
        <w:t>XXXXXXX</w:t>
      </w:r>
      <w:r w:rsidR="004E35F1" w:rsidRPr="00BB554C">
        <w:rPr>
          <w:bCs/>
          <w:color w:val="FF0000"/>
          <w:szCs w:val="24"/>
        </w:rPr>
        <w:t xml:space="preserve">. VALOR R$ </w:t>
      </w:r>
      <w:r w:rsidRPr="00BB554C">
        <w:rPr>
          <w:color w:val="FF0000"/>
          <w:szCs w:val="24"/>
        </w:rPr>
        <w:t>XXXXX</w:t>
      </w:r>
      <w:r w:rsidR="004E35F1" w:rsidRPr="00BB554C">
        <w:rPr>
          <w:color w:val="FF0000"/>
          <w:szCs w:val="24"/>
        </w:rPr>
        <w:t xml:space="preserve"> (</w:t>
      </w:r>
      <w:r w:rsidRPr="00BB554C">
        <w:rPr>
          <w:color w:val="FF0000"/>
          <w:szCs w:val="24"/>
        </w:rPr>
        <w:t>XXXXXXX</w:t>
      </w:r>
      <w:r w:rsidR="004E35F1" w:rsidRPr="00BB554C">
        <w:rPr>
          <w:color w:val="FF0000"/>
          <w:szCs w:val="24"/>
        </w:rPr>
        <w:t>)</w:t>
      </w:r>
      <w:r w:rsidRPr="00BB554C">
        <w:rPr>
          <w:color w:val="FF0000"/>
          <w:szCs w:val="24"/>
        </w:rPr>
        <w:t>.</w:t>
      </w:r>
    </w:p>
    <w:p w:rsidR="004E35F1" w:rsidRPr="00083635" w:rsidRDefault="004E35F1" w:rsidP="004E35F1">
      <w:pPr>
        <w:pStyle w:val="Corpodetexto3"/>
        <w:widowControl w:val="0"/>
        <w:outlineLvl w:val="0"/>
        <w:rPr>
          <w:sz w:val="22"/>
          <w:szCs w:val="22"/>
        </w:rPr>
      </w:pPr>
    </w:p>
    <w:p w:rsidR="004E35F1" w:rsidRPr="00083635" w:rsidRDefault="004E35F1" w:rsidP="004E35F1">
      <w:pPr>
        <w:pStyle w:val="Corpodetexto3"/>
        <w:widowControl w:val="0"/>
        <w:outlineLvl w:val="0"/>
        <w:rPr>
          <w:sz w:val="22"/>
          <w:szCs w:val="22"/>
        </w:rPr>
      </w:pPr>
    </w:p>
    <w:p w:rsidR="004E35F1" w:rsidRPr="00BB554C" w:rsidRDefault="005B57B2" w:rsidP="004E35F1">
      <w:pPr>
        <w:widowControl w:val="0"/>
        <w:jc w:val="both"/>
        <w:rPr>
          <w:rFonts w:ascii="Times New Roman" w:hAnsi="Times New Roman"/>
          <w:b/>
          <w:bCs/>
          <w:sz w:val="24"/>
        </w:rPr>
      </w:pPr>
      <w:r>
        <w:rPr>
          <w:rFonts w:ascii="Times New Roman" w:hAnsi="Times New Roman"/>
          <w:b/>
          <w:bCs/>
          <w:sz w:val="24"/>
        </w:rPr>
        <w:t>IX</w:t>
      </w:r>
      <w:r w:rsidR="004E35F1" w:rsidRPr="00BB554C">
        <w:rPr>
          <w:rFonts w:ascii="Times New Roman" w:hAnsi="Times New Roman"/>
          <w:b/>
          <w:bCs/>
          <w:sz w:val="24"/>
        </w:rPr>
        <w:t xml:space="preserve"> – DA HABILITAÇÃO JURÍDICA E DA REGULARIDADE FISCAL</w:t>
      </w:r>
    </w:p>
    <w:p w:rsidR="004E35F1" w:rsidRPr="00BB554C" w:rsidRDefault="004E35F1" w:rsidP="004E35F1">
      <w:pPr>
        <w:widowControl w:val="0"/>
        <w:ind w:firstLine="1134"/>
        <w:jc w:val="both"/>
        <w:rPr>
          <w:rFonts w:ascii="Times New Roman" w:hAnsi="Times New Roman"/>
          <w:sz w:val="24"/>
        </w:rPr>
      </w:pPr>
      <w:r w:rsidRPr="00BB554C">
        <w:rPr>
          <w:rFonts w:ascii="Times New Roman" w:hAnsi="Times New Roman"/>
          <w:sz w:val="24"/>
        </w:rPr>
        <w:t>Nos procedimentos administrativos para contrataç</w:t>
      </w:r>
      <w:r w:rsidR="00BB554C" w:rsidRPr="00BB554C">
        <w:rPr>
          <w:rFonts w:ascii="Times New Roman" w:hAnsi="Times New Roman"/>
          <w:sz w:val="24"/>
        </w:rPr>
        <w:t xml:space="preserve">ão, a Administração tem o dever </w:t>
      </w:r>
      <w:r w:rsidRPr="00BB554C">
        <w:rPr>
          <w:rFonts w:ascii="Times New Roman" w:hAnsi="Times New Roman"/>
          <w:sz w:val="24"/>
        </w:rPr>
        <w:t>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4E35F1" w:rsidRPr="00BB554C" w:rsidRDefault="004E35F1" w:rsidP="004E35F1">
      <w:pPr>
        <w:widowControl w:val="0"/>
        <w:ind w:firstLine="1134"/>
        <w:jc w:val="both"/>
        <w:rPr>
          <w:rFonts w:ascii="Times New Roman" w:hAnsi="Times New Roman"/>
          <w:sz w:val="24"/>
        </w:rPr>
      </w:pPr>
      <w:r w:rsidRPr="00BB554C">
        <w:rPr>
          <w:rFonts w:ascii="Times New Roman" w:hAnsi="Times New Roman"/>
          <w:sz w:val="24"/>
        </w:rPr>
        <w:t>A propósito, há recomendação do Tribunal de Contas da União nesse sentido:</w:t>
      </w:r>
    </w:p>
    <w:p w:rsidR="004E35F1" w:rsidRPr="00083635" w:rsidRDefault="004E35F1" w:rsidP="00BB554C">
      <w:pPr>
        <w:widowControl w:val="0"/>
        <w:ind w:left="2268"/>
        <w:jc w:val="both"/>
        <w:rPr>
          <w:rFonts w:ascii="Times New Roman" w:hAnsi="Times New Roman"/>
        </w:rPr>
      </w:pPr>
      <w:r w:rsidRPr="00083635">
        <w:rPr>
          <w:rFonts w:ascii="Times New Roman" w:hAnsi="Times New Roman"/>
          <w:i/>
          <w:iCs/>
        </w:rPr>
        <w:t xml:space="preserve">“Deve ser observada a exigência legal (art. 29, inciso IV, da Lei nº </w:t>
      </w:r>
      <w:r w:rsidRPr="00083635">
        <w:rPr>
          <w:rFonts w:ascii="Times New Roman" w:hAnsi="Times New Roman"/>
          <w:i/>
          <w:iCs/>
        </w:rPr>
        <w:lastRenderedPageBreak/>
        <w:t xml:space="preserve">8.666, de 1993) e constitucional (art. 195, § 3º, da CF) de que nas licitações públicas, mesmo em casos de </w:t>
      </w:r>
      <w:r w:rsidRPr="00083635">
        <w:rPr>
          <w:rFonts w:ascii="Times New Roman" w:hAnsi="Times New Roman"/>
          <w:bCs/>
          <w:i/>
          <w:iCs/>
        </w:rPr>
        <w:t>dispensa ou inexigibilidade</w:t>
      </w:r>
      <w:r w:rsidRPr="00083635">
        <w:rPr>
          <w:rFonts w:ascii="Times New Roman" w:hAnsi="Times New Roman"/>
          <w:i/>
          <w:iCs/>
        </w:rPr>
        <w:t xml:space="preserve">, é obrigatória a comprovação por parte da empresa contratada de: </w:t>
      </w:r>
    </w:p>
    <w:p w:rsidR="004E35F1" w:rsidRPr="00083635" w:rsidRDefault="004E35F1" w:rsidP="00BB554C">
      <w:pPr>
        <w:widowControl w:val="0"/>
        <w:ind w:left="2268"/>
        <w:jc w:val="both"/>
        <w:rPr>
          <w:rFonts w:ascii="Times New Roman" w:hAnsi="Times New Roman"/>
        </w:rPr>
      </w:pPr>
      <w:r w:rsidRPr="00083635">
        <w:rPr>
          <w:rFonts w:ascii="Times New Roman" w:hAnsi="Times New Roman"/>
          <w:i/>
          <w:iCs/>
        </w:rPr>
        <w:t xml:space="preserve">Certidão Negativa de Débito (INSS - art. 47, inciso I, alínea a, da Lei nº 8.212, de 1991); </w:t>
      </w:r>
    </w:p>
    <w:p w:rsidR="004E35F1" w:rsidRPr="00083635" w:rsidRDefault="004E35F1" w:rsidP="00BB554C">
      <w:pPr>
        <w:widowControl w:val="0"/>
        <w:ind w:left="2268"/>
        <w:jc w:val="both"/>
        <w:rPr>
          <w:rFonts w:ascii="Times New Roman" w:hAnsi="Times New Roman"/>
        </w:rPr>
      </w:pPr>
      <w:r w:rsidRPr="00083635">
        <w:rPr>
          <w:rFonts w:ascii="Times New Roman" w:hAnsi="Times New Roman"/>
          <w:i/>
          <w:iCs/>
        </w:rPr>
        <w:t xml:space="preserve">Certidão Negativa de Débitos de Tributos e Contribuições Federais (SRF-IN nº 80, de 1997); e </w:t>
      </w:r>
    </w:p>
    <w:p w:rsidR="004E35F1" w:rsidRPr="00083635" w:rsidRDefault="004E35F1" w:rsidP="00BB554C">
      <w:pPr>
        <w:widowControl w:val="0"/>
        <w:ind w:left="2268"/>
        <w:jc w:val="both"/>
        <w:rPr>
          <w:rFonts w:ascii="Times New Roman" w:hAnsi="Times New Roman"/>
        </w:rPr>
      </w:pPr>
      <w:r w:rsidRPr="00083635">
        <w:rPr>
          <w:rFonts w:ascii="Times New Roman" w:hAnsi="Times New Roman"/>
          <w:i/>
          <w:iCs/>
        </w:rPr>
        <w:t xml:space="preserve">Certificado de Regularidade do FGTS (CEF) (art. 27 da Lei nº 8.036, de 1990). </w:t>
      </w:r>
      <w:r w:rsidRPr="00083635">
        <w:rPr>
          <w:rFonts w:ascii="Times New Roman" w:hAnsi="Times New Roman"/>
          <w:bCs/>
          <w:i/>
        </w:rPr>
        <w:t>Acórdão 260/2002 Plenário</w:t>
      </w:r>
      <w:r w:rsidRPr="00083635">
        <w:rPr>
          <w:rFonts w:ascii="Times New Roman" w:hAnsi="Times New Roman"/>
          <w:i/>
          <w:iCs/>
        </w:rPr>
        <w:t>.</w:t>
      </w:r>
    </w:p>
    <w:p w:rsidR="004E35F1" w:rsidRDefault="004E35F1" w:rsidP="00FA7C90">
      <w:pPr>
        <w:widowControl w:val="0"/>
        <w:ind w:firstLine="1134"/>
        <w:jc w:val="both"/>
        <w:rPr>
          <w:rFonts w:ascii="Times New Roman" w:hAnsi="Times New Roman"/>
          <w:sz w:val="24"/>
        </w:rPr>
      </w:pPr>
      <w:r w:rsidRPr="009659EB">
        <w:rPr>
          <w:rFonts w:ascii="Times New Roman" w:hAnsi="Times New Roman"/>
          <w:sz w:val="24"/>
        </w:rPr>
        <w:t>Resta deixar consignado que a contratada demonstrou habilmente sua habilitação jurídica e regularidade fiscal</w:t>
      </w:r>
      <w:r w:rsidR="006E2435" w:rsidRPr="009659EB">
        <w:rPr>
          <w:rFonts w:ascii="Times New Roman" w:hAnsi="Times New Roman"/>
          <w:sz w:val="24"/>
        </w:rPr>
        <w:t>,</w:t>
      </w:r>
      <w:r w:rsidRPr="009659EB">
        <w:rPr>
          <w:rFonts w:ascii="Times New Roman" w:hAnsi="Times New Roman"/>
          <w:sz w:val="24"/>
        </w:rPr>
        <w:t xml:space="preserve"> conforme </w:t>
      </w:r>
      <w:r w:rsidR="006E2435" w:rsidRPr="009659EB">
        <w:rPr>
          <w:rFonts w:ascii="Times New Roman" w:hAnsi="Times New Roman"/>
          <w:sz w:val="24"/>
        </w:rPr>
        <w:t>os anexos.</w:t>
      </w:r>
    </w:p>
    <w:p w:rsidR="00FA7C90" w:rsidRPr="00FA7C90" w:rsidRDefault="00FA7C90" w:rsidP="00FA7C90">
      <w:pPr>
        <w:widowControl w:val="0"/>
        <w:spacing w:after="0"/>
        <w:ind w:firstLine="1134"/>
        <w:jc w:val="both"/>
        <w:rPr>
          <w:rFonts w:ascii="Times New Roman" w:hAnsi="Times New Roman"/>
          <w:sz w:val="24"/>
        </w:rPr>
      </w:pPr>
    </w:p>
    <w:p w:rsidR="004E35F1" w:rsidRPr="00BB554C" w:rsidRDefault="004E35F1" w:rsidP="004E35F1">
      <w:pPr>
        <w:widowControl w:val="0"/>
        <w:jc w:val="both"/>
        <w:rPr>
          <w:rFonts w:ascii="Times New Roman" w:hAnsi="Times New Roman"/>
          <w:b/>
          <w:sz w:val="24"/>
        </w:rPr>
      </w:pPr>
      <w:r w:rsidRPr="00BB554C">
        <w:rPr>
          <w:rFonts w:ascii="Times New Roman" w:hAnsi="Times New Roman"/>
          <w:b/>
          <w:sz w:val="24"/>
        </w:rPr>
        <w:t>X – CONCLUSÃO</w:t>
      </w:r>
    </w:p>
    <w:p w:rsidR="004E35F1" w:rsidRPr="00BB554C" w:rsidRDefault="004E35F1" w:rsidP="004E35F1">
      <w:pPr>
        <w:widowControl w:val="0"/>
        <w:ind w:firstLine="1418"/>
        <w:jc w:val="both"/>
        <w:rPr>
          <w:rFonts w:ascii="Times New Roman" w:hAnsi="Times New Roman"/>
          <w:sz w:val="24"/>
        </w:rPr>
      </w:pPr>
      <w:r w:rsidRPr="00BB554C">
        <w:rPr>
          <w:rFonts w:ascii="Times New Roman" w:hAnsi="Times New Roman"/>
          <w:sz w:val="24"/>
        </w:rPr>
        <w:t>Em relação</w:t>
      </w:r>
      <w:r w:rsidR="00BB554C" w:rsidRPr="00BB554C">
        <w:rPr>
          <w:rFonts w:ascii="Times New Roman" w:hAnsi="Times New Roman"/>
          <w:sz w:val="24"/>
        </w:rPr>
        <w:t xml:space="preserve"> aos preços, verifica-se que eles </w:t>
      </w:r>
      <w:r w:rsidRPr="00BB554C">
        <w:rPr>
          <w:rFonts w:ascii="Times New Roman" w:hAnsi="Times New Roman"/>
          <w:sz w:val="24"/>
        </w:rPr>
        <w:t>estão compatíveis com a realidade do mercado em se tratando de produto similar, podendo a Administração adquiri-lo sem qualquer afronta à lei de regência dos certames licitatórios.</w:t>
      </w:r>
    </w:p>
    <w:p w:rsidR="004E35F1" w:rsidRPr="00BB554C" w:rsidRDefault="004E35F1" w:rsidP="004E35F1">
      <w:pPr>
        <w:pStyle w:val="Corpodetexto3"/>
        <w:tabs>
          <w:tab w:val="left" w:pos="1985"/>
          <w:tab w:val="left" w:pos="2268"/>
        </w:tabs>
        <w:ind w:firstLine="1418"/>
        <w:outlineLvl w:val="0"/>
        <w:rPr>
          <w:bCs/>
          <w:szCs w:val="22"/>
        </w:rPr>
      </w:pPr>
      <w:r w:rsidRPr="00BB554C">
        <w:rPr>
          <w:bCs/>
          <w:szCs w:val="22"/>
        </w:rPr>
        <w:t xml:space="preserve">Do acima exposto, inobstante o interesse em contratar a referida empresa, relativamente ao fornecimento do produto em questão, é decisão discricionária do Diretor </w:t>
      </w:r>
      <w:r w:rsidR="00564DDB" w:rsidRPr="00BB554C">
        <w:rPr>
          <w:bCs/>
          <w:szCs w:val="22"/>
        </w:rPr>
        <w:t>do Campus do Agreste</w:t>
      </w:r>
      <w:r w:rsidRPr="00BB554C">
        <w:rPr>
          <w:bCs/>
          <w:szCs w:val="22"/>
        </w:rPr>
        <w:t xml:space="preserve"> optar pela contratação ou não, ante a criteriosa análise de toda a documentação acostada aos autos que instruem o presente procedimento.</w:t>
      </w:r>
    </w:p>
    <w:p w:rsidR="00D8465C" w:rsidRPr="00083635" w:rsidRDefault="00D8465C" w:rsidP="00FA7C90">
      <w:pPr>
        <w:spacing w:line="360" w:lineRule="auto"/>
        <w:rPr>
          <w:rFonts w:ascii="Times New Roman" w:hAnsi="Times New Roman"/>
          <w:color w:val="000000"/>
          <w:szCs w:val="24"/>
        </w:rPr>
      </w:pPr>
    </w:p>
    <w:p w:rsidR="00D8465C" w:rsidRPr="00A3285E" w:rsidRDefault="00D8465C" w:rsidP="008F1B63">
      <w:pPr>
        <w:spacing w:line="360" w:lineRule="auto"/>
        <w:jc w:val="right"/>
        <w:rPr>
          <w:rFonts w:ascii="Times New Roman" w:hAnsi="Times New Roman"/>
          <w:color w:val="000000"/>
          <w:sz w:val="24"/>
          <w:szCs w:val="24"/>
        </w:rPr>
      </w:pPr>
      <w:r w:rsidRPr="00A3285E">
        <w:rPr>
          <w:rFonts w:ascii="Times New Roman" w:hAnsi="Times New Roman"/>
          <w:color w:val="000000"/>
          <w:sz w:val="24"/>
          <w:szCs w:val="24"/>
        </w:rPr>
        <w:t xml:space="preserve">Caruaru, </w:t>
      </w:r>
      <w:proofErr w:type="spellStart"/>
      <w:r w:rsidR="00866F71" w:rsidRPr="00A3285E">
        <w:rPr>
          <w:rFonts w:ascii="Times New Roman" w:hAnsi="Times New Roman"/>
          <w:color w:val="FF0000"/>
          <w:sz w:val="24"/>
          <w:szCs w:val="24"/>
        </w:rPr>
        <w:t>xx</w:t>
      </w:r>
      <w:proofErr w:type="spellEnd"/>
      <w:r w:rsidRPr="00A3285E">
        <w:rPr>
          <w:rFonts w:ascii="Times New Roman" w:hAnsi="Times New Roman"/>
          <w:color w:val="000000"/>
          <w:sz w:val="24"/>
          <w:szCs w:val="24"/>
        </w:rPr>
        <w:t xml:space="preserve"> de </w:t>
      </w:r>
      <w:proofErr w:type="spellStart"/>
      <w:r w:rsidRPr="00A3285E">
        <w:rPr>
          <w:rFonts w:ascii="Times New Roman" w:hAnsi="Times New Roman"/>
          <w:color w:val="FF0000"/>
          <w:sz w:val="24"/>
          <w:szCs w:val="24"/>
        </w:rPr>
        <w:t>xxxxxxxxxxx</w:t>
      </w:r>
      <w:proofErr w:type="spellEnd"/>
      <w:r w:rsidRPr="00A3285E">
        <w:rPr>
          <w:rFonts w:ascii="Times New Roman" w:hAnsi="Times New Roman"/>
          <w:color w:val="000000"/>
          <w:sz w:val="24"/>
          <w:szCs w:val="24"/>
        </w:rPr>
        <w:t xml:space="preserve"> de 20</w:t>
      </w:r>
      <w:r w:rsidR="006E2435" w:rsidRPr="00A3285E">
        <w:rPr>
          <w:rFonts w:ascii="Times New Roman" w:hAnsi="Times New Roman"/>
          <w:color w:val="FF0000"/>
          <w:sz w:val="24"/>
          <w:szCs w:val="24"/>
        </w:rPr>
        <w:t>xx</w:t>
      </w:r>
      <w:r w:rsidRPr="00A3285E">
        <w:rPr>
          <w:rFonts w:ascii="Times New Roman" w:hAnsi="Times New Roman"/>
          <w:color w:val="000000"/>
          <w:sz w:val="24"/>
          <w:szCs w:val="24"/>
        </w:rPr>
        <w:t>.</w:t>
      </w:r>
    </w:p>
    <w:tbl>
      <w:tblPr>
        <w:tblStyle w:val="Tabelacomgrade"/>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6"/>
      </w:tblGrid>
      <w:tr w:rsidR="00D8465C" w:rsidRPr="00083635" w:rsidTr="00A3285E">
        <w:trPr>
          <w:trHeight w:val="784"/>
        </w:trPr>
        <w:tc>
          <w:tcPr>
            <w:tcW w:w="6456" w:type="dxa"/>
          </w:tcPr>
          <w:p w:rsidR="00D8465C" w:rsidRPr="009659EB" w:rsidRDefault="0029348A" w:rsidP="00E83E57">
            <w:pPr>
              <w:pStyle w:val="SemEspaamento"/>
              <w:rPr>
                <w:rFonts w:cs="Times New Roman"/>
                <w:sz w:val="24"/>
              </w:rPr>
            </w:pPr>
            <w:r w:rsidRPr="009659EB">
              <w:rPr>
                <w:rFonts w:cs="Times New Roman"/>
                <w:sz w:val="24"/>
              </w:rPr>
              <w:t>Aprovo,</w:t>
            </w:r>
          </w:p>
          <w:p w:rsidR="00D8465C" w:rsidRPr="009659EB" w:rsidRDefault="00D8465C" w:rsidP="00E83E57">
            <w:pPr>
              <w:pStyle w:val="SemEspaamento"/>
              <w:rPr>
                <w:rFonts w:cs="Times New Roman"/>
                <w:sz w:val="24"/>
              </w:rPr>
            </w:pPr>
          </w:p>
          <w:p w:rsidR="0029348A" w:rsidRPr="009659EB" w:rsidRDefault="0029348A" w:rsidP="00E83E57">
            <w:pPr>
              <w:pStyle w:val="SemEspaamento"/>
              <w:rPr>
                <w:rFonts w:cs="Times New Roman"/>
                <w:sz w:val="24"/>
              </w:rPr>
            </w:pPr>
          </w:p>
          <w:p w:rsidR="00D8465C" w:rsidRPr="009659EB" w:rsidRDefault="0029348A" w:rsidP="00AB02F5">
            <w:pPr>
              <w:pStyle w:val="SemEspaamento"/>
              <w:spacing w:line="360" w:lineRule="auto"/>
              <w:rPr>
                <w:rFonts w:cs="Times New Roman"/>
                <w:sz w:val="24"/>
              </w:rPr>
            </w:pPr>
            <w:r w:rsidRPr="009659EB">
              <w:rPr>
                <w:rFonts w:cs="Times New Roman"/>
                <w:sz w:val="24"/>
              </w:rPr>
              <w:t>____________________________________________________</w:t>
            </w:r>
          </w:p>
        </w:tc>
      </w:tr>
      <w:tr w:rsidR="00D8465C" w:rsidRPr="00083635" w:rsidTr="00A3285E">
        <w:trPr>
          <w:trHeight w:val="523"/>
        </w:trPr>
        <w:tc>
          <w:tcPr>
            <w:tcW w:w="6456" w:type="dxa"/>
          </w:tcPr>
          <w:p w:rsidR="00D8465C" w:rsidRPr="009659EB" w:rsidRDefault="00D8465C" w:rsidP="0029348A">
            <w:pPr>
              <w:pStyle w:val="SemEspaamento"/>
              <w:jc w:val="center"/>
              <w:rPr>
                <w:rFonts w:cs="Times New Roman"/>
                <w:b/>
                <w:sz w:val="24"/>
              </w:rPr>
            </w:pPr>
            <w:r w:rsidRPr="009659EB">
              <w:rPr>
                <w:rFonts w:cs="Times New Roman"/>
                <w:b/>
                <w:sz w:val="24"/>
              </w:rPr>
              <w:t>Prof. Manoel Guedes Alcoforado Neto</w:t>
            </w:r>
          </w:p>
          <w:p w:rsidR="00D8465C" w:rsidRPr="009659EB" w:rsidRDefault="00D8465C" w:rsidP="0029348A">
            <w:pPr>
              <w:pStyle w:val="SemEspaamento"/>
              <w:jc w:val="center"/>
              <w:rPr>
                <w:rFonts w:cs="Times New Roman"/>
                <w:sz w:val="24"/>
              </w:rPr>
            </w:pPr>
            <w:r w:rsidRPr="009659EB">
              <w:rPr>
                <w:rFonts w:cs="Times New Roman"/>
                <w:sz w:val="24"/>
              </w:rPr>
              <w:t>Diretor do Centro Acadêmico do Agreste (CAA)</w:t>
            </w:r>
          </w:p>
          <w:p w:rsidR="0029348A" w:rsidRPr="009659EB" w:rsidRDefault="0029348A" w:rsidP="0029348A">
            <w:pPr>
              <w:pStyle w:val="SemEspaamento"/>
              <w:jc w:val="center"/>
              <w:rPr>
                <w:rFonts w:cs="Times New Roman"/>
                <w:sz w:val="24"/>
              </w:rPr>
            </w:pPr>
            <w:r w:rsidRPr="009659EB">
              <w:rPr>
                <w:rFonts w:cs="Times New Roman"/>
                <w:sz w:val="24"/>
              </w:rPr>
              <w:t>SIAPE Nº 2496804</w:t>
            </w:r>
          </w:p>
        </w:tc>
      </w:tr>
    </w:tbl>
    <w:p w:rsidR="00D8465C" w:rsidRPr="00083635" w:rsidRDefault="00D8465C" w:rsidP="00D8465C">
      <w:pPr>
        <w:pStyle w:val="SemEspaamento"/>
        <w:rPr>
          <w:rFonts w:cs="Times New Roman"/>
        </w:rPr>
      </w:pPr>
      <w:r w:rsidRPr="00083635">
        <w:rPr>
          <w:rFonts w:cs="Times New Roman"/>
        </w:rPr>
        <w:br w:type="textWrapping" w:clear="all"/>
      </w:r>
    </w:p>
    <w:p w:rsidR="00D8465C" w:rsidRPr="00083635" w:rsidRDefault="00D8465C" w:rsidP="00D8465C">
      <w:pPr>
        <w:pStyle w:val="SemEspaamento"/>
        <w:rPr>
          <w:rFonts w:cs="Times New Roman"/>
        </w:rPr>
      </w:pPr>
    </w:p>
    <w:p w:rsidR="00D8465C" w:rsidRPr="00083635" w:rsidRDefault="00D8465C" w:rsidP="00D8465C">
      <w:pPr>
        <w:ind w:left="1080"/>
        <w:rPr>
          <w:rFonts w:ascii="Times New Roman" w:hAnsi="Times New Roman"/>
          <w:vanish/>
        </w:rPr>
      </w:pPr>
    </w:p>
    <w:p w:rsidR="00BA125D" w:rsidRPr="009659EB" w:rsidRDefault="00BA125D" w:rsidP="009659EB">
      <w:pPr>
        <w:tabs>
          <w:tab w:val="left" w:pos="4800"/>
        </w:tabs>
        <w:rPr>
          <w:rFonts w:ascii="Times New Roman" w:hAnsi="Times New Roman"/>
        </w:rPr>
      </w:pPr>
    </w:p>
    <w:sectPr w:rsidR="00BA125D" w:rsidRPr="009659EB" w:rsidSect="001355CC">
      <w:headerReference w:type="even" r:id="rId9"/>
      <w:headerReference w:type="default" r:id="rId10"/>
      <w:footerReference w:type="default" r:id="rId11"/>
      <w:headerReference w:type="first" r:id="rId12"/>
      <w:pgSz w:w="11906" w:h="16838"/>
      <w:pgMar w:top="2977" w:right="1701" w:bottom="1417" w:left="1701" w:header="426"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CB1" w:rsidRDefault="00267CB1">
      <w:pPr>
        <w:spacing w:after="0" w:line="240" w:lineRule="auto"/>
      </w:pPr>
      <w:r>
        <w:separator/>
      </w:r>
    </w:p>
  </w:endnote>
  <w:endnote w:type="continuationSeparator" w:id="0">
    <w:p w:rsidR="00267CB1" w:rsidRDefault="0026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635" w:rsidRPr="00083635" w:rsidRDefault="00083635" w:rsidP="00083635">
    <w:pPr>
      <w:pStyle w:val="Standard"/>
      <w:jc w:val="center"/>
      <w:rPr>
        <w:sz w:val="18"/>
        <w:szCs w:val="18"/>
      </w:rPr>
    </w:pPr>
    <w:r w:rsidRPr="00083635">
      <w:rPr>
        <w:sz w:val="18"/>
        <w:szCs w:val="18"/>
      </w:rPr>
      <w:t>Rodovia BR 104, Km 59, S/N, Nova Caruaru – Caruaru/PE – CEP: 55.014-900</w:t>
    </w:r>
  </w:p>
  <w:p w:rsidR="00083635" w:rsidRPr="00083635" w:rsidRDefault="00083635" w:rsidP="00083635">
    <w:pPr>
      <w:pStyle w:val="Standard"/>
      <w:jc w:val="center"/>
      <w:rPr>
        <w:sz w:val="18"/>
        <w:szCs w:val="18"/>
      </w:rPr>
    </w:pPr>
    <w:r w:rsidRPr="00083635">
      <w:rPr>
        <w:sz w:val="18"/>
        <w:szCs w:val="18"/>
      </w:rPr>
      <w:t>(81) 2103-9151 – compras.agreste@ufpe.br / divisaocomprascaa@gmail.com</w:t>
    </w:r>
  </w:p>
  <w:p w:rsidR="00083635" w:rsidRPr="00083635" w:rsidRDefault="00083635" w:rsidP="00083635">
    <w:pPr>
      <w:tabs>
        <w:tab w:val="left" w:pos="4962"/>
      </w:tabs>
      <w:spacing w:after="0" w:line="360" w:lineRule="auto"/>
      <w:jc w:val="center"/>
      <w:rPr>
        <w:rFonts w:ascii="Times New Roman" w:hAnsi="Times New Roman"/>
      </w:rPr>
    </w:pPr>
    <w:r w:rsidRPr="00083635">
      <w:rPr>
        <w:rFonts w:ascii="Times New Roman" w:hAnsi="Times New Roman"/>
        <w:sz w:val="18"/>
        <w:szCs w:val="18"/>
      </w:rPr>
      <w:t>Site: www.ufpe.br/</w:t>
    </w:r>
    <w:r w:rsidR="009659EB">
      <w:rPr>
        <w:rFonts w:ascii="Times New Roman" w:hAnsi="Times New Roman"/>
        <w:sz w:val="18"/>
        <w:szCs w:val="18"/>
      </w:rPr>
      <w:t>caa/</w:t>
    </w:r>
    <w:r w:rsidR="00267CB1">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770" o:spid="_x0000_s2052" type="#_x0000_t75" style="position:absolute;left:0;text-align:left;margin-left:0;margin-top:0;width:425.15pt;height:425.15pt;z-index:-251650048;mso-position-horizontal:center;mso-position-horizontal-relative:margin;mso-position-vertical:center;mso-position-vertical-relative:margin" o:allowincell="f">
          <v:imagedata r:id="rId1" o:title="logos-051" gain="19661f" blacklevel="22938f"/>
          <w10:wrap anchorx="margin" anchory="margin"/>
        </v:shape>
      </w:pict>
    </w:r>
    <w:r w:rsidR="009659EB">
      <w:rPr>
        <w:rFonts w:ascii="Times New Roman" w:hAnsi="Times New Roman"/>
        <w:sz w:val="18"/>
        <w:szCs w:val="18"/>
      </w:rPr>
      <w:t>gca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CB1" w:rsidRDefault="00267CB1">
      <w:pPr>
        <w:spacing w:after="0" w:line="240" w:lineRule="auto"/>
      </w:pPr>
      <w:r>
        <w:separator/>
      </w:r>
    </w:p>
  </w:footnote>
  <w:footnote w:type="continuationSeparator" w:id="0">
    <w:p w:rsidR="00267CB1" w:rsidRDefault="00267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25" w:rsidRDefault="00267C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769" o:spid="_x0000_s2049" type="#_x0000_t75" style="position:absolute;margin-left:0;margin-top:0;width:425.15pt;height:425.15pt;z-index:-251654144;mso-position-horizontal:center;mso-position-horizontal-relative:margin;mso-position-vertical:center;mso-position-vertical-relative:margin" o:allowincell="f">
          <v:imagedata r:id="rId1" o:title="logos-05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641541"/>
      <w:docPartObj>
        <w:docPartGallery w:val="Page Numbers (Top of Page)"/>
        <w:docPartUnique/>
      </w:docPartObj>
    </w:sdtPr>
    <w:sdtEndPr/>
    <w:sdtContent>
      <w:p w:rsidR="009176CE" w:rsidRDefault="009176CE">
        <w:pPr>
          <w:pStyle w:val="Cabealho"/>
          <w:jc w:val="right"/>
        </w:pPr>
        <w:r>
          <w:fldChar w:fldCharType="begin"/>
        </w:r>
        <w:r>
          <w:instrText>PAGE   \* MERGEFORMAT</w:instrText>
        </w:r>
        <w:r>
          <w:fldChar w:fldCharType="separate"/>
        </w:r>
        <w:r w:rsidR="00011371">
          <w:rPr>
            <w:noProof/>
          </w:rPr>
          <w:t>2</w:t>
        </w:r>
        <w:r>
          <w:fldChar w:fldCharType="end"/>
        </w:r>
      </w:p>
    </w:sdtContent>
  </w:sdt>
  <w:p w:rsidR="009176CE" w:rsidRPr="00083635" w:rsidRDefault="009176CE" w:rsidP="009176CE">
    <w:pPr>
      <w:pStyle w:val="Standard"/>
      <w:jc w:val="center"/>
      <w:rPr>
        <w:b/>
        <w:bCs/>
        <w:sz w:val="22"/>
        <w:szCs w:val="22"/>
      </w:rPr>
    </w:pPr>
    <w:r w:rsidRPr="00083635">
      <w:rPr>
        <w:noProof/>
        <w:lang w:eastAsia="pt-BR"/>
      </w:rPr>
      <w:drawing>
        <wp:inline distT="0" distB="0" distL="0" distR="0" wp14:anchorId="381F66F5" wp14:editId="27BD9900">
          <wp:extent cx="809625" cy="857250"/>
          <wp:effectExtent l="0" t="0" r="0" b="0"/>
          <wp:docPr id="18" name="Imagem 18" descr="http://4.bp.blogspot.com/_phVDZlib8Nw/S9YphQmSBeI/AAAAAAAAAJY/FA5CwuH6hlc/s1600/brasao_p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4.bp.blogspot.com/_phVDZlib8Nw/S9YphQmSBeI/AAAAAAAAAJY/FA5CwuH6hlc/s1600/brasao_pb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57250"/>
                  </a:xfrm>
                  <a:prstGeom prst="rect">
                    <a:avLst/>
                  </a:prstGeom>
                  <a:noFill/>
                  <a:ln>
                    <a:noFill/>
                  </a:ln>
                </pic:spPr>
              </pic:pic>
            </a:graphicData>
          </a:graphic>
        </wp:inline>
      </w:drawing>
    </w:r>
  </w:p>
  <w:p w:rsidR="009176CE" w:rsidRPr="00083635" w:rsidRDefault="009176CE" w:rsidP="009176CE">
    <w:pPr>
      <w:pStyle w:val="Standard"/>
      <w:jc w:val="center"/>
      <w:rPr>
        <w:b/>
        <w:bCs/>
        <w:sz w:val="22"/>
        <w:szCs w:val="22"/>
      </w:rPr>
    </w:pPr>
    <w:r w:rsidRPr="00083635">
      <w:rPr>
        <w:b/>
        <w:bCs/>
        <w:sz w:val="22"/>
        <w:szCs w:val="22"/>
      </w:rPr>
      <w:t>MINISTÉRIO DA EDUCAÇÃO</w:t>
    </w:r>
  </w:p>
  <w:p w:rsidR="009176CE" w:rsidRPr="00083635" w:rsidRDefault="009176CE" w:rsidP="009176CE">
    <w:pPr>
      <w:pStyle w:val="Standard"/>
      <w:ind w:left="-14" w:right="-163"/>
      <w:jc w:val="center"/>
      <w:rPr>
        <w:b/>
        <w:bCs/>
        <w:sz w:val="20"/>
        <w:szCs w:val="20"/>
      </w:rPr>
    </w:pPr>
    <w:r w:rsidRPr="00083635">
      <w:rPr>
        <w:b/>
        <w:bCs/>
        <w:sz w:val="20"/>
        <w:szCs w:val="20"/>
      </w:rPr>
      <w:t>UNIVERSIDADE FEDERAL DE PERNAMBUCO</w:t>
    </w:r>
  </w:p>
  <w:p w:rsidR="009176CE" w:rsidRPr="00083635" w:rsidRDefault="00011371" w:rsidP="009176CE">
    <w:pPr>
      <w:pStyle w:val="Standard"/>
      <w:spacing w:line="276" w:lineRule="auto"/>
      <w:ind w:right="-163"/>
      <w:jc w:val="center"/>
      <w:rPr>
        <w:b/>
        <w:bCs/>
        <w:sz w:val="16"/>
        <w:szCs w:val="16"/>
      </w:rPr>
    </w:pPr>
    <w:r>
      <w:rPr>
        <w:b/>
        <w:bCs/>
        <w:sz w:val="16"/>
        <w:szCs w:val="16"/>
      </w:rPr>
      <w:t>CAMPUS DO AGRESTE (CA)</w:t>
    </w:r>
  </w:p>
  <w:p w:rsidR="009176CE" w:rsidRPr="00083635" w:rsidRDefault="009176CE" w:rsidP="009176CE">
    <w:pPr>
      <w:pStyle w:val="Standard"/>
      <w:spacing w:line="276" w:lineRule="auto"/>
      <w:jc w:val="center"/>
      <w:rPr>
        <w:b/>
        <w:bCs/>
        <w:sz w:val="16"/>
        <w:szCs w:val="16"/>
      </w:rPr>
    </w:pPr>
    <w:r w:rsidRPr="00083635">
      <w:rPr>
        <w:b/>
        <w:bCs/>
        <w:sz w:val="16"/>
        <w:szCs w:val="16"/>
      </w:rPr>
      <w:t>GERÊNCIA DE COMPRAS DO AGRESTE – GCA</w:t>
    </w:r>
  </w:p>
  <w:p w:rsidR="00083635" w:rsidRPr="009176CE" w:rsidRDefault="00083635" w:rsidP="009176C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25" w:rsidRDefault="00267C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5768" o:spid="_x0000_s2051" type="#_x0000_t75" style="position:absolute;margin-left:0;margin-top:0;width:425.15pt;height:425.15pt;z-index:-251652096;mso-position-horizontal:center;mso-position-horizontal-relative:margin;mso-position-vertical:center;mso-position-vertical-relative:margin" o:allowincell="f">
          <v:imagedata r:id="rId1" o:title="logos-05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06F0F"/>
    <w:multiLevelType w:val="hybridMultilevel"/>
    <w:tmpl w:val="E71CB68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044869"/>
    <w:multiLevelType w:val="multilevel"/>
    <w:tmpl w:val="8758DDA8"/>
    <w:lvl w:ilvl="0">
      <w:start w:val="1"/>
      <w:numFmt w:val="decimal"/>
      <w:lvlText w:val="%1."/>
      <w:lvlJc w:val="left"/>
      <w:pPr>
        <w:tabs>
          <w:tab w:val="num" w:pos="720"/>
        </w:tabs>
        <w:ind w:left="720" w:hanging="720"/>
      </w:pPr>
    </w:lvl>
    <w:lvl w:ilvl="1">
      <w:start w:val="1"/>
      <w:numFmt w:val="bullet"/>
      <w:lvlText w:val=""/>
      <w:lvlJc w:val="left"/>
      <w:pPr>
        <w:tabs>
          <w:tab w:val="num" w:pos="862"/>
        </w:tabs>
        <w:ind w:left="862"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D106F1"/>
    <w:multiLevelType w:val="hybridMultilevel"/>
    <w:tmpl w:val="F75C25C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 w15:restartNumberingAfterBreak="0">
    <w:nsid w:val="6978797C"/>
    <w:multiLevelType w:val="multilevel"/>
    <w:tmpl w:val="8758DDA8"/>
    <w:lvl w:ilvl="0">
      <w:start w:val="1"/>
      <w:numFmt w:val="decimal"/>
      <w:lvlText w:val="%1."/>
      <w:lvlJc w:val="left"/>
      <w:pPr>
        <w:tabs>
          <w:tab w:val="num" w:pos="720"/>
        </w:tabs>
        <w:ind w:left="720" w:hanging="720"/>
      </w:pPr>
    </w:lvl>
    <w:lvl w:ilvl="1">
      <w:start w:val="1"/>
      <w:numFmt w:val="bullet"/>
      <w:lvlText w:val=""/>
      <w:lvlJc w:val="left"/>
      <w:pPr>
        <w:tabs>
          <w:tab w:val="num" w:pos="1571"/>
        </w:tabs>
        <w:ind w:left="1571"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5C"/>
    <w:rsid w:val="00011371"/>
    <w:rsid w:val="0004412A"/>
    <w:rsid w:val="00083635"/>
    <w:rsid w:val="00090EEE"/>
    <w:rsid w:val="000A294D"/>
    <w:rsid w:val="000F19B0"/>
    <w:rsid w:val="0011027B"/>
    <w:rsid w:val="001355CC"/>
    <w:rsid w:val="001B6552"/>
    <w:rsid w:val="001D13CE"/>
    <w:rsid w:val="001E4C84"/>
    <w:rsid w:val="00241110"/>
    <w:rsid w:val="00267CB1"/>
    <w:rsid w:val="0029348A"/>
    <w:rsid w:val="002B6F8B"/>
    <w:rsid w:val="003D5756"/>
    <w:rsid w:val="003F0F88"/>
    <w:rsid w:val="00463EF3"/>
    <w:rsid w:val="004E35F1"/>
    <w:rsid w:val="00564DDB"/>
    <w:rsid w:val="005B57B2"/>
    <w:rsid w:val="005B6984"/>
    <w:rsid w:val="005F05EF"/>
    <w:rsid w:val="00620534"/>
    <w:rsid w:val="00621B9D"/>
    <w:rsid w:val="0062443E"/>
    <w:rsid w:val="0064529B"/>
    <w:rsid w:val="00697013"/>
    <w:rsid w:val="006B6513"/>
    <w:rsid w:val="006D0E5C"/>
    <w:rsid w:val="006D1124"/>
    <w:rsid w:val="006D74D8"/>
    <w:rsid w:val="006E2435"/>
    <w:rsid w:val="0079382C"/>
    <w:rsid w:val="007A513C"/>
    <w:rsid w:val="007D349F"/>
    <w:rsid w:val="00866F71"/>
    <w:rsid w:val="008F1B63"/>
    <w:rsid w:val="009176CE"/>
    <w:rsid w:val="009659EB"/>
    <w:rsid w:val="00967E7D"/>
    <w:rsid w:val="009C19F1"/>
    <w:rsid w:val="009C2807"/>
    <w:rsid w:val="00A3285E"/>
    <w:rsid w:val="00A54D97"/>
    <w:rsid w:val="00AB02F5"/>
    <w:rsid w:val="00AC641A"/>
    <w:rsid w:val="00AE2EC4"/>
    <w:rsid w:val="00AF1C02"/>
    <w:rsid w:val="00B153E1"/>
    <w:rsid w:val="00B2527E"/>
    <w:rsid w:val="00B57F8B"/>
    <w:rsid w:val="00BA125D"/>
    <w:rsid w:val="00BB554C"/>
    <w:rsid w:val="00C22080"/>
    <w:rsid w:val="00C23FF7"/>
    <w:rsid w:val="00C76A95"/>
    <w:rsid w:val="00CE01B6"/>
    <w:rsid w:val="00CE57E7"/>
    <w:rsid w:val="00D8465C"/>
    <w:rsid w:val="00DD3811"/>
    <w:rsid w:val="00EF7AB7"/>
    <w:rsid w:val="00F11758"/>
    <w:rsid w:val="00FA7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E9E4AEB-04CF-43FE-9808-652CA91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5C"/>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qFormat/>
    <w:rsid w:val="00D8465C"/>
    <w:pPr>
      <w:keepNext/>
      <w:keepLines/>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D9D9D9" w:themeFill="background1" w:themeFillShade="D9"/>
      <w:tabs>
        <w:tab w:val="num" w:pos="284"/>
      </w:tabs>
      <w:spacing w:before="240" w:after="120" w:line="240" w:lineRule="auto"/>
      <w:ind w:left="567" w:hanging="567"/>
      <w:outlineLvl w:val="0"/>
    </w:pPr>
    <w:rPr>
      <w:rFonts w:ascii="Times New Roman" w:eastAsiaTheme="majorEastAsia" w:hAnsi="Times New Roman" w:cstheme="majorBidi"/>
      <w:smallCaps/>
      <w:color w:val="000000" w:themeColor="text1"/>
      <w:spacing w:val="5"/>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465C"/>
    <w:rPr>
      <w:rFonts w:ascii="Times New Roman" w:eastAsiaTheme="majorEastAsia" w:hAnsi="Times New Roman" w:cstheme="majorBidi"/>
      <w:smallCaps/>
      <w:color w:val="000000" w:themeColor="text1"/>
      <w:spacing w:val="5"/>
      <w:sz w:val="28"/>
      <w:szCs w:val="28"/>
      <w:shd w:val="clear" w:color="auto" w:fill="D9D9D9" w:themeFill="background1" w:themeFillShade="D9"/>
    </w:rPr>
  </w:style>
  <w:style w:type="paragraph" w:styleId="Cabealho">
    <w:name w:val="header"/>
    <w:basedOn w:val="Normal"/>
    <w:link w:val="CabealhoChar"/>
    <w:uiPriority w:val="99"/>
    <w:unhideWhenUsed/>
    <w:rsid w:val="00D846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65C"/>
    <w:rPr>
      <w:rFonts w:ascii="Calibri" w:eastAsia="Times New Roman" w:hAnsi="Calibri" w:cs="Times New Roman"/>
      <w:lang w:eastAsia="pt-BR"/>
    </w:rPr>
  </w:style>
  <w:style w:type="paragraph" w:styleId="Rodap">
    <w:name w:val="footer"/>
    <w:basedOn w:val="Normal"/>
    <w:link w:val="RodapChar"/>
    <w:unhideWhenUsed/>
    <w:rsid w:val="00D8465C"/>
    <w:pPr>
      <w:tabs>
        <w:tab w:val="center" w:pos="4252"/>
        <w:tab w:val="right" w:pos="8504"/>
      </w:tabs>
      <w:spacing w:after="0" w:line="240" w:lineRule="auto"/>
    </w:pPr>
  </w:style>
  <w:style w:type="character" w:customStyle="1" w:styleId="RodapChar">
    <w:name w:val="Rodapé Char"/>
    <w:basedOn w:val="Fontepargpadro"/>
    <w:link w:val="Rodap"/>
    <w:rsid w:val="00D8465C"/>
    <w:rPr>
      <w:rFonts w:ascii="Calibri" w:eastAsia="Times New Roman" w:hAnsi="Calibri" w:cs="Times New Roman"/>
      <w:lang w:eastAsia="pt-BR"/>
    </w:rPr>
  </w:style>
  <w:style w:type="paragraph" w:styleId="PargrafodaLista">
    <w:name w:val="List Paragraph"/>
    <w:basedOn w:val="Normal"/>
    <w:uiPriority w:val="34"/>
    <w:qFormat/>
    <w:rsid w:val="00D8465C"/>
    <w:pPr>
      <w:ind w:left="720"/>
      <w:contextualSpacing/>
    </w:pPr>
  </w:style>
  <w:style w:type="paragraph" w:customStyle="1" w:styleId="Default">
    <w:name w:val="Default"/>
    <w:rsid w:val="00D8465C"/>
    <w:pPr>
      <w:suppressAutoHyphens/>
      <w:autoSpaceDE w:val="0"/>
      <w:spacing w:after="0" w:line="240" w:lineRule="auto"/>
    </w:pPr>
    <w:rPr>
      <w:rFonts w:ascii="Trebuchet MS" w:eastAsia="Times New Roman" w:hAnsi="Trebuchet MS" w:cs="Trebuchet MS"/>
      <w:color w:val="000000"/>
      <w:sz w:val="24"/>
      <w:szCs w:val="24"/>
      <w:lang w:eastAsia="zh-CN"/>
    </w:rPr>
  </w:style>
  <w:style w:type="paragraph" w:customStyle="1" w:styleId="Estilo1">
    <w:name w:val="Estilo1"/>
    <w:basedOn w:val="Normal"/>
    <w:link w:val="Estilo1Char"/>
    <w:qFormat/>
    <w:rsid w:val="00D8465C"/>
    <w:pPr>
      <w:keepLines/>
      <w:tabs>
        <w:tab w:val="num" w:pos="992"/>
      </w:tabs>
      <w:spacing w:before="120" w:after="0" w:line="240" w:lineRule="auto"/>
      <w:ind w:left="992" w:hanging="708"/>
      <w:jc w:val="both"/>
    </w:pPr>
    <w:rPr>
      <w:rFonts w:ascii="Times New Roman" w:eastAsiaTheme="minorEastAsia" w:hAnsi="Times New Roman" w:cstheme="minorBidi"/>
      <w:sz w:val="24"/>
      <w:szCs w:val="20"/>
      <w:lang w:eastAsia="ar-SA"/>
    </w:rPr>
  </w:style>
  <w:style w:type="character" w:customStyle="1" w:styleId="Estilo1Char">
    <w:name w:val="Estilo1 Char"/>
    <w:basedOn w:val="Fontepargpadro"/>
    <w:link w:val="Estilo1"/>
    <w:rsid w:val="00D8465C"/>
    <w:rPr>
      <w:rFonts w:ascii="Times New Roman" w:eastAsiaTheme="minorEastAsia" w:hAnsi="Times New Roman"/>
      <w:sz w:val="24"/>
      <w:szCs w:val="20"/>
      <w:lang w:eastAsia="ar-SA"/>
    </w:rPr>
  </w:style>
  <w:style w:type="table" w:styleId="Tabelacomgrade">
    <w:name w:val="Table Grid"/>
    <w:basedOn w:val="Tabelanormal"/>
    <w:uiPriority w:val="59"/>
    <w:rsid w:val="00D8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3">
    <w:name w:val="Nível 3"/>
    <w:basedOn w:val="Normal"/>
    <w:link w:val="Nvel3Char"/>
    <w:qFormat/>
    <w:rsid w:val="00D8465C"/>
    <w:pPr>
      <w:keepLines/>
      <w:tabs>
        <w:tab w:val="num" w:pos="2268"/>
      </w:tabs>
      <w:spacing w:before="120" w:after="120" w:line="240" w:lineRule="auto"/>
      <w:ind w:left="2041" w:hanging="907"/>
      <w:jc w:val="both"/>
    </w:pPr>
    <w:rPr>
      <w:rFonts w:ascii="Times New Roman" w:eastAsiaTheme="majorEastAsia" w:hAnsi="Times New Roman" w:cstheme="majorBidi"/>
      <w:lang w:eastAsia="en-US"/>
    </w:rPr>
  </w:style>
  <w:style w:type="character" w:customStyle="1" w:styleId="Nvel3Char">
    <w:name w:val="Nível 3 Char"/>
    <w:basedOn w:val="Fontepargpadro"/>
    <w:link w:val="Nvel3"/>
    <w:rsid w:val="00D8465C"/>
    <w:rPr>
      <w:rFonts w:ascii="Times New Roman" w:eastAsiaTheme="majorEastAsia" w:hAnsi="Times New Roman" w:cstheme="majorBidi"/>
    </w:rPr>
  </w:style>
  <w:style w:type="paragraph" w:styleId="Citao">
    <w:name w:val="Quote"/>
    <w:basedOn w:val="Normal"/>
    <w:next w:val="Normal"/>
    <w:link w:val="CitaoChar"/>
    <w:uiPriority w:val="29"/>
    <w:qFormat/>
    <w:rsid w:val="00D8465C"/>
    <w:pPr>
      <w:keepLines/>
      <w:spacing w:before="120" w:after="120" w:line="240" w:lineRule="auto"/>
      <w:ind w:left="2268"/>
      <w:jc w:val="both"/>
    </w:pPr>
    <w:rPr>
      <w:rFonts w:ascii="Times New Roman" w:eastAsiaTheme="majorEastAsia" w:hAnsi="Times New Roman" w:cstheme="majorBidi"/>
      <w:iCs/>
      <w:sz w:val="20"/>
      <w:lang w:eastAsia="en-US"/>
    </w:rPr>
  </w:style>
  <w:style w:type="character" w:customStyle="1" w:styleId="CitaoChar">
    <w:name w:val="Citação Char"/>
    <w:basedOn w:val="Fontepargpadro"/>
    <w:link w:val="Citao"/>
    <w:uiPriority w:val="29"/>
    <w:rsid w:val="00D8465C"/>
    <w:rPr>
      <w:rFonts w:ascii="Times New Roman" w:eastAsiaTheme="majorEastAsia" w:hAnsi="Times New Roman" w:cstheme="majorBidi"/>
      <w:iCs/>
      <w:sz w:val="20"/>
    </w:rPr>
  </w:style>
  <w:style w:type="paragraph" w:styleId="SemEspaamento">
    <w:name w:val="No Spacing"/>
    <w:basedOn w:val="Normal"/>
    <w:link w:val="SemEspaamentoChar"/>
    <w:uiPriority w:val="1"/>
    <w:qFormat/>
    <w:rsid w:val="00D8465C"/>
    <w:pPr>
      <w:keepLines/>
      <w:spacing w:after="0" w:line="240" w:lineRule="auto"/>
      <w:jc w:val="both"/>
    </w:pPr>
    <w:rPr>
      <w:rFonts w:ascii="Times New Roman" w:eastAsiaTheme="majorEastAsia" w:hAnsi="Times New Roman" w:cstheme="majorBidi"/>
      <w:lang w:eastAsia="en-US"/>
    </w:rPr>
  </w:style>
  <w:style w:type="character" w:customStyle="1" w:styleId="SemEspaamentoChar">
    <w:name w:val="Sem Espaçamento Char"/>
    <w:basedOn w:val="Fontepargpadro"/>
    <w:link w:val="SemEspaamento"/>
    <w:uiPriority w:val="1"/>
    <w:rsid w:val="00D8465C"/>
    <w:rPr>
      <w:rFonts w:ascii="Times New Roman" w:eastAsiaTheme="majorEastAsia" w:hAnsi="Times New Roman" w:cstheme="majorBidi"/>
    </w:rPr>
  </w:style>
  <w:style w:type="character" w:styleId="Hyperlink">
    <w:name w:val="Hyperlink"/>
    <w:basedOn w:val="Fontepargpadro"/>
    <w:rsid w:val="004E35F1"/>
    <w:rPr>
      <w:color w:val="0000FF"/>
      <w:u w:val="single"/>
    </w:rPr>
  </w:style>
  <w:style w:type="paragraph" w:styleId="Corpodetexto3">
    <w:name w:val="Body Text 3"/>
    <w:basedOn w:val="Normal"/>
    <w:link w:val="Corpodetexto3Char"/>
    <w:rsid w:val="004E35F1"/>
    <w:pPr>
      <w:spacing w:after="0" w:line="240" w:lineRule="auto"/>
      <w:jc w:val="both"/>
    </w:pPr>
    <w:rPr>
      <w:rFonts w:ascii="Times New Roman" w:hAnsi="Times New Roman"/>
      <w:sz w:val="24"/>
      <w:szCs w:val="20"/>
    </w:rPr>
  </w:style>
  <w:style w:type="character" w:customStyle="1" w:styleId="Corpodetexto3Char">
    <w:name w:val="Corpo de texto 3 Char"/>
    <w:basedOn w:val="Fontepargpadro"/>
    <w:link w:val="Corpodetexto3"/>
    <w:rsid w:val="004E35F1"/>
    <w:rPr>
      <w:rFonts w:ascii="Times New Roman" w:eastAsia="Times New Roman" w:hAnsi="Times New Roman" w:cs="Times New Roman"/>
      <w:sz w:val="24"/>
      <w:szCs w:val="20"/>
      <w:lang w:eastAsia="pt-BR"/>
    </w:rPr>
  </w:style>
  <w:style w:type="paragraph" w:customStyle="1" w:styleId="Standard">
    <w:name w:val="Standard"/>
    <w:rsid w:val="00083635"/>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zh-CN"/>
    </w:rPr>
  </w:style>
  <w:style w:type="paragraph" w:styleId="CitaoIntensa">
    <w:name w:val="Intense Quote"/>
    <w:basedOn w:val="Normal"/>
    <w:next w:val="Normal"/>
    <w:link w:val="CitaoIntensaChar"/>
    <w:autoRedefine/>
    <w:uiPriority w:val="30"/>
    <w:qFormat/>
    <w:rsid w:val="00A3285E"/>
    <w:pPr>
      <w:pBdr>
        <w:top w:val="single" w:sz="6" w:space="10" w:color="0D0D0D" w:themeColor="text1" w:themeTint="F2"/>
        <w:bottom w:val="single" w:sz="6" w:space="10" w:color="0D0D0D" w:themeColor="text1" w:themeTint="F2"/>
      </w:pBdr>
      <w:spacing w:after="0" w:line="240" w:lineRule="auto"/>
      <w:ind w:left="862" w:right="862"/>
      <w:jc w:val="center"/>
    </w:pPr>
    <w:rPr>
      <w:rFonts w:ascii="Times New Roman" w:eastAsia="Calibri" w:hAnsi="Times New Roman"/>
      <w:b/>
      <w:i/>
      <w:iCs/>
      <w:sz w:val="28"/>
      <w:lang w:eastAsia="en-US"/>
    </w:rPr>
  </w:style>
  <w:style w:type="character" w:customStyle="1" w:styleId="CitaoIntensaChar">
    <w:name w:val="Citação Intensa Char"/>
    <w:basedOn w:val="Fontepargpadro"/>
    <w:link w:val="CitaoIntensa"/>
    <w:uiPriority w:val="30"/>
    <w:rsid w:val="00A3285E"/>
    <w:rPr>
      <w:rFonts w:ascii="Times New Roman" w:eastAsia="Calibri" w:hAnsi="Times New Roman" w:cs="Times New Roman"/>
      <w:b/>
      <w:i/>
      <w:iCs/>
      <w:sz w:val="28"/>
    </w:rPr>
  </w:style>
  <w:style w:type="paragraph" w:styleId="Textodebalo">
    <w:name w:val="Balloon Text"/>
    <w:basedOn w:val="Normal"/>
    <w:link w:val="TextodebaloChar"/>
    <w:uiPriority w:val="99"/>
    <w:semiHidden/>
    <w:unhideWhenUsed/>
    <w:rsid w:val="006E24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243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ineldeprecos.planejamento.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fpe.br/progest/ata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2186</Words>
  <Characters>11810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UFPE</cp:lastModifiedBy>
  <cp:revision>15</cp:revision>
  <dcterms:created xsi:type="dcterms:W3CDTF">2018-06-28T19:54:00Z</dcterms:created>
  <dcterms:modified xsi:type="dcterms:W3CDTF">2018-12-04T13:34:00Z</dcterms:modified>
</cp:coreProperties>
</file>