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2" w:lineRule="auto"/>
        <w:ind w:left="211" w:right="596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29dcoskzd1bk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838200" cy="79057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72" w:lineRule="auto"/>
        <w:ind w:left="211" w:right="59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spacing w:before="72" w:lineRule="auto"/>
        <w:ind w:left="211" w:right="59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pStyle w:val="Heading1"/>
        <w:spacing w:before="72" w:lineRule="auto"/>
        <w:ind w:left="211" w:right="596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(PREENCHER O NOME DA UNIDADE)</w:t>
      </w:r>
    </w:p>
    <w:p w:rsidR="00000000" w:rsidDel="00000000" w:rsidP="00000000" w:rsidRDefault="00000000" w:rsidRPr="00000000" w14:paraId="00000005">
      <w:pPr>
        <w:pStyle w:val="Heading1"/>
        <w:spacing w:before="72" w:lineRule="auto"/>
        <w:ind w:left="211" w:right="596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72" w:lineRule="auto"/>
        <w:ind w:left="211" w:right="596" w:firstLine="0"/>
        <w:rPr>
          <w:rFonts w:ascii="Arial" w:cs="Arial" w:eastAsia="Arial" w:hAnsi="Arial"/>
          <w:color w:val="ff0000"/>
        </w:rPr>
      </w:pPr>
      <w:bookmarkStart w:colFirst="0" w:colLast="0" w:name="_heading=h.uy9z64r5q697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MAPA DE RISCOS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(MODELO)</w:t>
      </w:r>
    </w:p>
    <w:p w:rsidR="00000000" w:rsidDel="00000000" w:rsidP="00000000" w:rsidRDefault="00000000" w:rsidRPr="00000000" w14:paraId="00000007">
      <w:pPr>
        <w:spacing w:before="228" w:lineRule="auto"/>
        <w:ind w:left="-425.19685039370086" w:right="-139.133858267715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(Realizado em conformidade com o Anexo IV da IN SEGES/MPDG nº 5 de 2017)</w:t>
      </w:r>
    </w:p>
    <w:p w:rsidR="00000000" w:rsidDel="00000000" w:rsidP="00000000" w:rsidRDefault="00000000" w:rsidRPr="00000000" w14:paraId="00000008">
      <w:pPr>
        <w:spacing w:before="161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4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-147002</wp:posOffset>
                </wp:positionH>
                <wp:positionV relativeFrom="paragraph">
                  <wp:posOffset>8902</wp:posOffset>
                </wp:positionV>
                <wp:extent cx="5722945" cy="281621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44710" y="3655540"/>
                          <a:ext cx="5402580" cy="2489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1.99999809265137" w:line="240"/>
                              <w:ind w:left="0" w:right="1.000000014901161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FASE DE ANÁLISE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-147002</wp:posOffset>
                </wp:positionH>
                <wp:positionV relativeFrom="paragraph">
                  <wp:posOffset>8902</wp:posOffset>
                </wp:positionV>
                <wp:extent cx="5722945" cy="281621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2945" cy="281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98" w:right="2.598425196851508" w:hanging="481.4645669291337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Planejamento da Contratação e Seleção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ornecedor      ( ) Gestão do Contrato</w:t>
      </w:r>
    </w:p>
    <w:p w:rsidR="00000000" w:rsidDel="00000000" w:rsidP="00000000" w:rsidRDefault="00000000" w:rsidRPr="00000000" w14:paraId="0000000B">
      <w:pPr>
        <w:spacing w:before="6" w:line="240" w:lineRule="auto"/>
        <w:ind w:firstLine="0"/>
        <w:rPr>
          <w:sz w:val="5"/>
          <w:szCs w:val="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287.0" w:type="dxa"/>
        <w:tblBorders>
          <w:top w:color="333333" w:space="0" w:sz="4" w:val="single"/>
          <w:left w:color="333333" w:space="0" w:sz="4" w:val="single"/>
          <w:bottom w:color="333333" w:space="0" w:sz="4" w:val="single"/>
          <w:right w:color="333333" w:space="0" w:sz="4" w:val="single"/>
          <w:insideH w:color="333333" w:space="0" w:sz="4" w:val="single"/>
          <w:insideV w:color="333333" w:space="0" w:sz="4" w:val="single"/>
        </w:tblBorders>
        <w:tblLayout w:type="fixed"/>
        <w:tblLook w:val="0000"/>
      </w:tblPr>
      <w:tblGrid>
        <w:gridCol w:w="1005"/>
        <w:gridCol w:w="1440"/>
        <w:gridCol w:w="3510"/>
        <w:gridCol w:w="3180"/>
        <w:tblGridChange w:id="0">
          <w:tblGrid>
            <w:gridCol w:w="1005"/>
            <w:gridCol w:w="1440"/>
            <w:gridCol w:w="3510"/>
            <w:gridCol w:w="3180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gridSpan w:val="4"/>
            <w:shd w:fill="585858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1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7"/>
                <w:tab w:val="left" w:leader="none" w:pos="3790"/>
              </w:tabs>
              <w:spacing w:after="0" w:before="37" w:line="240" w:lineRule="auto"/>
              <w:ind w:left="257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Baixa</w:t>
              <w:tab/>
              <w:t xml:space="preserve">( ) Média</w:t>
              <w:tab/>
              <w:t xml:space="preserve">( ) Alta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7"/>
                <w:tab w:val="left" w:leader="none" w:pos="3790"/>
              </w:tabs>
              <w:spacing w:after="0" w:before="38" w:line="240" w:lineRule="auto"/>
              <w:ind w:left="257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Baixa</w:t>
              <w:tab/>
              <w:t xml:space="preserve">( ) Média</w:t>
              <w:tab/>
              <w:t xml:space="preserve">( ) Alta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9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Dano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9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3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7" w:right="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9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6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" w:right="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" w:before="52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297.0" w:type="dxa"/>
        <w:tblBorders>
          <w:top w:color="333333" w:space="0" w:sz="4" w:val="single"/>
          <w:left w:color="333333" w:space="0" w:sz="4" w:val="single"/>
          <w:bottom w:color="333333" w:space="0" w:sz="4" w:val="single"/>
          <w:right w:color="333333" w:space="0" w:sz="4" w:val="single"/>
          <w:insideH w:color="333333" w:space="0" w:sz="4" w:val="single"/>
          <w:insideV w:color="333333" w:space="0" w:sz="4" w:val="single"/>
        </w:tblBorders>
        <w:tblLayout w:type="fixed"/>
        <w:tblLook w:val="0000"/>
      </w:tblPr>
      <w:tblGrid>
        <w:gridCol w:w="1005"/>
        <w:gridCol w:w="1455"/>
        <w:gridCol w:w="3510"/>
        <w:gridCol w:w="3210"/>
        <w:tblGridChange w:id="0">
          <w:tblGrid>
            <w:gridCol w:w="1005"/>
            <w:gridCol w:w="1455"/>
            <w:gridCol w:w="3510"/>
            <w:gridCol w:w="3210"/>
          </w:tblGrid>
        </w:tblGridChange>
      </w:tblGrid>
      <w:tr>
        <w:trPr>
          <w:cantSplit w:val="0"/>
          <w:trHeight w:val="393" w:hRule="atLeast"/>
          <w:tblHeader w:val="0"/>
        </w:trPr>
        <w:tc>
          <w:tcPr>
            <w:gridSpan w:val="4"/>
            <w:shd w:fill="585858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4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9"/>
                <w:tab w:val="left" w:leader="none" w:pos="3792"/>
              </w:tabs>
              <w:spacing w:after="0" w:before="37" w:line="240" w:lineRule="auto"/>
              <w:ind w:left="25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Baixa</w:t>
              <w:tab/>
              <w:t xml:space="preserve">( ) Média</w:t>
              <w:tab/>
              <w:t xml:space="preserve">( ) Alta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54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9"/>
                <w:tab w:val="left" w:leader="none" w:pos="3792"/>
              </w:tabs>
              <w:spacing w:after="0" w:before="37" w:line="240" w:lineRule="auto"/>
              <w:ind w:left="259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Baixa</w:t>
              <w:tab/>
              <w:t xml:space="preserve">( ) Média</w:t>
              <w:tab/>
              <w:t xml:space="preserve">( ) Alta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1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bebebe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8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Dano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1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4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bottom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21" w:right="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2"/>
            <w:tcBorders>
              <w:bottom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36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tcBorders>
              <w:bottom w:color="000000" w:space="0" w:sz="8" w:val="single"/>
            </w:tcBorders>
            <w:shd w:fill="bebebe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before="175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Ind w:w="-2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shd w:fill="58585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RESPONSÁVEL/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93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70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981200" cy="635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55400" y="3775150"/>
                                <a:ext cx="1981200" cy="6350"/>
                                <a:chOff x="4355400" y="3775150"/>
                                <a:chExt cx="19812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55400" y="3776825"/>
                                  <a:ext cx="1981200" cy="6350"/>
                                  <a:chOff x="0" y="0"/>
                                  <a:chExt cx="1981200" cy="63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19812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3093"/>
                                    <a:ext cx="198120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981200">
                                        <a:moveTo>
                                          <a:pt x="0" y="0"/>
                                        </a:moveTo>
                                        <a:lnTo>
                                          <a:pt x="1981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81200" cy="6350"/>
                      <wp:effectExtent b="0" l="0" r="0" t="0"/>
                      <wp:docPr id="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1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7" w:right="3587" w:hanging="3.0000000000001137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Responsável/ Responsáveis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-139.1338582677156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OBS: Este documento serve apenas de referencial para a elaboração do mapa de riscos. A unidade de compra deve instruir o processo de contratação com documento elaborado no ComprasGov, no módulo Gestão de Riscos.</w:t>
      </w:r>
    </w:p>
    <w:sectPr>
      <w:footerReference r:id="rId10" w:type="default"/>
      <w:pgSz w:h="16840" w:w="11910" w:orient="portrait"/>
      <w:pgMar w:bottom="1220" w:top="1760" w:left="1559" w:right="1559" w:header="0" w:footer="10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5321300</wp:posOffset>
              </wp:positionH>
              <wp:positionV relativeFrom="paragraph">
                <wp:posOffset>9893300</wp:posOffset>
              </wp:positionV>
              <wp:extent cx="175260" cy="1905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63133" y="3689513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5321300</wp:posOffset>
              </wp:positionH>
              <wp:positionV relativeFrom="paragraph">
                <wp:posOffset>9893300</wp:posOffset>
              </wp:positionV>
              <wp:extent cx="175260" cy="1905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26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" w:right="1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3" w:right="1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5qe9PLLeP1XzylxFMXYOJkxAKw==">CgMxLjAyDmguMjlkY29za3pkMWJrMg5oLnV5OXo2NHI1cTY5NzgAciExbUlOQWVGMmh2c2ZfRkZtWDJEUXNGdDYzZ0EzUjVaUlc=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2025-05-05T23:54:59Z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