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1ygki1a0h5a9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114300" distT="114300" distL="114300" distR="114300">
            <wp:extent cx="838200" cy="7905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(PREENCHER O NOME DA UNIDADE)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INSTRUMENTO DE MEDIÇÃO DE RESULTADO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28" w:lineRule="auto"/>
        <w:ind w:left="-708.6614173228347" w:right="-557.5984251968498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(Realizado em conformidade com o Anexo V-B da IN SEGES/MPDG nº 5 de 2017 e adaptado para a demanda da instituição)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0" w:right="-274.133858267715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-283.46456692913375" w:right="-274.1338582677156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ITENS PARA AVALIAÇÃO DO NÍVEL DOS SERVIÇOS PELA FISCALIZAÇÃO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-283.46456692913375" w:right="-274.133858267715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934.464566929131" w:type="dxa"/>
            <w:jc w:val="left"/>
            <w:tblInd w:w="-283.4645669291337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78.1548556430444"/>
            <w:gridCol w:w="2978.1548556430444"/>
            <w:gridCol w:w="2978.1548556430444"/>
            <w:tblGridChange w:id="0">
              <w:tblGrid>
                <w:gridCol w:w="2978.1548556430444"/>
                <w:gridCol w:w="2978.1548556430444"/>
                <w:gridCol w:w="2978.154855643044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ITEM PARA OBSERVAÇÃO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CONFORME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NÃO CONFORME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Indicador 1 -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Item 1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 - xxxxxx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Item 2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- xxxxxx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Item 3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- xxxxxx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Indicador 2 -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Item 1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- xxxxxx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Item 2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- xxxxxx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Item 3 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- xxxxxx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Arial" w:cs="Arial" w:eastAsia="Arial" w:hAnsi="Arial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4"/>
                    <w:szCs w:val="24"/>
                    <w:rtl w:val="0"/>
                  </w:rPr>
                  <w:t xml:space="preserve">Listar a quantidade de indicadores e de itens conforme previsto na Planilha de Custos e Formação de Preços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-283.46456692913375" w:right="-274.133858267715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4832"/>
        </w:tabs>
        <w:spacing w:before="78" w:lineRule="auto"/>
        <w:ind w:left="-283.46456692913375" w:right="-274.1338582677156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AVALIAÇÃO DA QUALIDADE DOS SERVIÇOS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-283.46456692913375" w:right="-274.133858267715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8934.464566929133" w:type="dxa"/>
            <w:jc w:val="left"/>
            <w:tblInd w:w="-283.4645669291337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33.6161417322833"/>
            <w:gridCol w:w="2233.6161417322833"/>
            <w:gridCol w:w="2233.6161417322833"/>
            <w:gridCol w:w="2233.6161417322833"/>
            <w:tblGridChange w:id="0">
              <w:tblGrid>
                <w:gridCol w:w="2233.6161417322833"/>
                <w:gridCol w:w="2233.6161417322833"/>
                <w:gridCol w:w="2233.6161417322833"/>
                <w:gridCol w:w="2233.61614173228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Indicador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Critério (Faixas de Pontuação)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Pontos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Avaliação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Indicador 1</w:t>
                </w: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 - xxxxx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Ex: Sem ocorrências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10 pontos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Ex: De 1 a 3 ocorrências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5 pontos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Ex: Mais de 3 ocorrências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0 pontos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Listar a quantidade de indicadores e de faixas de pontuação conforme previsto no Termo de Referência. 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-283.46456692913375" w:right="-274.133858267715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755"/>
          <w:tab w:val="left" w:leader="none" w:pos="5780"/>
          <w:tab w:val="left" w:leader="none" w:pos="6591"/>
        </w:tabs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559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5Yt0KtjHlC/+xeD/O5DWdrkwQ==">CgMxLjAaHwoBMBIaChgICVIUChJ0YWJsZS4ybnB5cDhzOXdnbWwaHwoBMRIaChgICVIUChJ0YWJsZS4yN2plbzhzcXM5anIyDmguMXlna2kxYTBoNWE5OAByITFqSjhtcFp5eVRXbk9sTDlkV09mdXlEODdUaFE1aTNGdQ==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2025-05-06T00:14:47Z</dcterms:created>
  <dc:creator>Rosana Medeiros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2025-05-06T00:00:00Z</vt:filetime>
  </property>
  <property fmtid="{D5CDD505-2E9C-101B-9397-08002B2CF9AE}" pid="5" name="SourceModified">
    <vt:lpwstr>D:20240521111558+14'15'</vt:lpwstr>
  </property>
</Properties>
</file>