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shapetype_136" coordsize="21600,21600" o:spt="136.0" adj="10800" path="m@9,l@10,em@11,21600l@12,21600e">
            <v:stroke joinstyle="miter"/>
            <v:formulas>
              <v:f eqn="val #0"/>
              <v:f eqn="sum @0 0 10800"/>
              <v:f eqn="sum @0 0 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handles/>
          </v:shapetype>
        </w:pic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after="0" w:before="72" w:line="240" w:lineRule="auto"/>
        <w:ind w:left="211" w:right="59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633jrkkbv9c" w:id="0"/>
      <w:bookmarkEnd w:id="0"/>
      <w:r w:rsidDel="00000000" w:rsidR="00000000" w:rsidRPr="00000000">
        <w:rPr>
          <w:b w:val="1"/>
          <w:sz w:val="20"/>
          <w:szCs w:val="20"/>
        </w:rPr>
        <w:drawing>
          <wp:inline distB="114300" distT="114300" distL="114300" distR="114300">
            <wp:extent cx="838200" cy="7905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90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dt>
      <w:sdtPr>
        <w:tag w:val="goog_rdk_0"/>
      </w:sdtPr>
      <w:sdtContent>
        <w:p w:rsidR="00000000" w:rsidDel="00000000" w:rsidP="00000000" w:rsidRDefault="00000000" w:rsidRPr="00000000" w14:paraId="00000003">
          <w:pPr>
            <w:pStyle w:val="Heading1"/>
            <w:keepNext w:val="0"/>
            <w:keepLines w:val="0"/>
            <w:widowControl w:val="0"/>
            <w:spacing w:after="0" w:before="72" w:line="240" w:lineRule="auto"/>
            <w:ind w:left="211" w:right="596" w:firstLine="0"/>
            <w:jc w:val="center"/>
            <w:rPr>
              <w:b w:val="1"/>
              <w:sz w:val="20"/>
              <w:szCs w:val="20"/>
            </w:rPr>
          </w:pPr>
          <w:r w:rsidDel="00000000" w:rsidR="00000000" w:rsidRPr="00000000">
            <w:rPr>
              <w:b w:val="1"/>
              <w:sz w:val="20"/>
              <w:szCs w:val="20"/>
              <w:rtl w:val="0"/>
            </w:rPr>
            <w:t xml:space="preserve">SERVIÇO PÚBLICO FEDERAL</w:t>
          </w:r>
        </w:p>
      </w:sdtContent>
    </w:sdt>
    <w:sdt>
      <w:sdtPr>
        <w:tag w:val="goog_rdk_1"/>
      </w:sdtPr>
      <w:sdtContent>
        <w:p w:rsidR="00000000" w:rsidDel="00000000" w:rsidP="00000000" w:rsidRDefault="00000000" w:rsidRPr="00000000" w14:paraId="00000004">
          <w:pPr>
            <w:pStyle w:val="Heading1"/>
            <w:keepNext w:val="0"/>
            <w:keepLines w:val="0"/>
            <w:widowControl w:val="0"/>
            <w:spacing w:after="0" w:before="72" w:line="240" w:lineRule="auto"/>
            <w:ind w:left="211" w:right="596" w:firstLine="0"/>
            <w:jc w:val="center"/>
            <w:rPr>
              <w:b w:val="1"/>
              <w:sz w:val="20"/>
              <w:szCs w:val="20"/>
            </w:rPr>
          </w:pPr>
          <w:r w:rsidDel="00000000" w:rsidR="00000000" w:rsidRPr="00000000">
            <w:rPr>
              <w:b w:val="1"/>
              <w:sz w:val="20"/>
              <w:szCs w:val="20"/>
              <w:rtl w:val="0"/>
            </w:rPr>
            <w:t xml:space="preserve">UNIVERSIDADE FEDERAL DE PERNAMBUCO</w:t>
          </w:r>
        </w:p>
      </w:sdtContent>
    </w:sdt>
    <w:sdt>
      <w:sdtPr>
        <w:tag w:val="goog_rdk_2"/>
      </w:sdtPr>
      <w:sdtContent>
        <w:p w:rsidR="00000000" w:rsidDel="00000000" w:rsidP="00000000" w:rsidRDefault="00000000" w:rsidRPr="00000000" w14:paraId="00000005">
          <w:pPr>
            <w:pStyle w:val="Heading1"/>
            <w:keepNext w:val="0"/>
            <w:keepLines w:val="0"/>
            <w:widowControl w:val="0"/>
            <w:spacing w:after="0" w:before="72" w:line="240" w:lineRule="auto"/>
            <w:ind w:left="211" w:right="596" w:firstLine="0"/>
            <w:jc w:val="center"/>
            <w:rPr>
              <w:b w:val="1"/>
              <w:color w:val="ff0000"/>
              <w:sz w:val="20"/>
              <w:szCs w:val="20"/>
            </w:rPr>
          </w:pPr>
          <w:r w:rsidDel="00000000" w:rsidR="00000000" w:rsidRPr="00000000">
            <w:rPr>
              <w:b w:val="1"/>
              <w:color w:val="ff0000"/>
              <w:sz w:val="20"/>
              <w:szCs w:val="20"/>
              <w:rtl w:val="0"/>
            </w:rPr>
            <w:t xml:space="preserve">(PREENCHER O NOME DA UNIDADE)</w:t>
          </w:r>
        </w:p>
      </w:sdtContent>
    </w:sdt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tag w:val="goog_rdk_3"/>
      </w:sdtPr>
      <w:sdtContent>
        <w:p w:rsidR="00000000" w:rsidDel="00000000" w:rsidP="00000000" w:rsidRDefault="00000000" w:rsidRPr="00000000" w14:paraId="00000007">
          <w:pPr>
            <w:pStyle w:val="Heading1"/>
            <w:keepNext w:val="0"/>
            <w:keepLines w:val="0"/>
            <w:widowControl w:val="0"/>
            <w:spacing w:after="0" w:before="72" w:line="240" w:lineRule="auto"/>
            <w:ind w:left="211" w:right="596" w:firstLine="0"/>
            <w:jc w:val="center"/>
            <w:rPr>
              <w:b w:val="1"/>
              <w:color w:val="ff0000"/>
              <w:sz w:val="20"/>
              <w:szCs w:val="20"/>
            </w:rPr>
          </w:pPr>
          <w:bookmarkStart w:colFirst="0" w:colLast="0" w:name="_heading=h.h68fcyx0mwpu" w:id="1"/>
          <w:bookmarkEnd w:id="1"/>
          <w:r w:rsidDel="00000000" w:rsidR="00000000" w:rsidRPr="00000000">
            <w:rPr>
              <w:b w:val="1"/>
              <w:sz w:val="20"/>
              <w:szCs w:val="20"/>
              <w:rtl w:val="0"/>
            </w:rPr>
            <w:t xml:space="preserve">ESTUDO TÉCNICO PRELIMINAR </w:t>
          </w:r>
          <w:r w:rsidDel="00000000" w:rsidR="00000000" w:rsidRPr="00000000">
            <w:rPr>
              <w:b w:val="1"/>
              <w:color w:val="ff0000"/>
              <w:sz w:val="20"/>
              <w:szCs w:val="20"/>
              <w:rtl w:val="0"/>
            </w:rPr>
            <w:t xml:space="preserve">(MODELO)</w:t>
          </w:r>
        </w:p>
      </w:sdtContent>
    </w:sdt>
    <w:p w:rsidR="00000000" w:rsidDel="00000000" w:rsidP="00000000" w:rsidRDefault="00000000" w:rsidRPr="00000000" w14:paraId="00000008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PROCESSO ADMINISTRATIVO Nº 23076. XXXXXX/202X-XX</w:t>
      </w:r>
    </w:p>
    <w:p w:rsidR="00000000" w:rsidDel="00000000" w:rsidP="00000000" w:rsidRDefault="00000000" w:rsidRPr="00000000" w14:paraId="00000009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Equipe de Planejamento da Contratação (Portaria de Designação nº xx-xxxx/DLIC-PROAD</w:t>
      </w:r>
    </w:p>
    <w:p w:rsidR="00000000" w:rsidDel="00000000" w:rsidP="00000000" w:rsidRDefault="00000000" w:rsidRPr="00000000" w14:paraId="0000000A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pBdr>
          <w:top w:color="1f497d" w:space="1" w:sz="4" w:val="single"/>
          <w:left w:color="1f497d" w:space="4" w:sz="4" w:val="single"/>
          <w:bottom w:color="1f497d" w:space="31" w:sz="4" w:val="single"/>
          <w:right w:color="1f497d" w:space="4" w:sz="4" w:val="single"/>
        </w:pBdr>
        <w:shd w:fill="ffffcc" w:val="clear"/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Fundamentos legais:</w:t>
      </w:r>
    </w:p>
    <w:p w:rsidR="00000000" w:rsidDel="00000000" w:rsidP="00000000" w:rsidRDefault="00000000" w:rsidRPr="00000000" w14:paraId="0000000C">
      <w:pPr>
        <w:keepNext w:val="1"/>
        <w:pBdr>
          <w:top w:color="1f497d" w:space="1" w:sz="4" w:val="single"/>
          <w:left w:color="1f497d" w:space="4" w:sz="4" w:val="single"/>
          <w:bottom w:color="1f497d" w:space="31" w:sz="4" w:val="single"/>
          <w:right w:color="1f497d" w:space="4" w:sz="4" w:val="single"/>
        </w:pBdr>
        <w:shd w:fill="ffffcc" w:val="clear"/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pBdr>
          <w:top w:color="1f497d" w:space="1" w:sz="4" w:val="single"/>
          <w:left w:color="1f497d" w:space="4" w:sz="4" w:val="single"/>
          <w:bottom w:color="1f497d" w:space="31" w:sz="4" w:val="single"/>
          <w:right w:color="1f497d" w:space="4" w:sz="4" w:val="single"/>
        </w:pBdr>
        <w:shd w:fill="ffffcc" w:val="clear"/>
        <w:spacing w:line="240" w:lineRule="auto"/>
        <w:jc w:val="both"/>
        <w:rPr>
          <w:b w:val="1"/>
          <w:sz w:val="20"/>
          <w:szCs w:val="20"/>
        </w:rPr>
      </w:pPr>
      <w:hyperlink r:id="rId8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Lei º 14.133, DE 01º DE ABRIL DE 2021.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pBdr>
          <w:top w:color="1f497d" w:space="1" w:sz="4" w:val="single"/>
          <w:left w:color="1f497d" w:space="4" w:sz="4" w:val="single"/>
          <w:bottom w:color="1f497d" w:space="31" w:sz="4" w:val="single"/>
          <w:right w:color="1f497d" w:space="4" w:sz="4" w:val="single"/>
        </w:pBdr>
        <w:shd w:fill="ffffcc" w:val="clear"/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pBdr>
          <w:top w:color="1f497d" w:space="1" w:sz="4" w:val="single"/>
          <w:left w:color="1f497d" w:space="4" w:sz="4" w:val="single"/>
          <w:bottom w:color="1f497d" w:space="31" w:sz="4" w:val="single"/>
          <w:right w:color="1f497d" w:space="4" w:sz="4" w:val="single"/>
        </w:pBdr>
        <w:shd w:fill="ffffcc" w:val="clear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Art. 18., Inc. I. A fase preparatória do processo licitatório é caracterizada pelo planejamento e deve compatibilizar-se com o Plano de Contratações Anual de que trata o inciso VII do caput do Art. 12 desta Lei, sempre que elaborado, e com as leis orçamentárias, bem como abordar todas as considerações técnicas, mercadológicas e de gestão, que podem interferir na contratação, compreendidos:</w:t>
      </w:r>
    </w:p>
    <w:p w:rsidR="00000000" w:rsidDel="00000000" w:rsidP="00000000" w:rsidRDefault="00000000" w:rsidRPr="00000000" w14:paraId="00000010">
      <w:pPr>
        <w:keepNext w:val="1"/>
        <w:pBdr>
          <w:top w:color="1f497d" w:space="1" w:sz="4" w:val="single"/>
          <w:left w:color="1f497d" w:space="4" w:sz="4" w:val="single"/>
          <w:bottom w:color="1f497d" w:space="31" w:sz="4" w:val="single"/>
          <w:right w:color="1f497d" w:space="4" w:sz="4" w:val="single"/>
        </w:pBdr>
        <w:shd w:fill="ffffcc" w:val="clear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- A descrição da necessidade da contratação fundamentada em estudo técnico preliminar que caracterize o interesse público envolvido.</w:t>
      </w:r>
    </w:p>
    <w:p w:rsidR="00000000" w:rsidDel="00000000" w:rsidP="00000000" w:rsidRDefault="00000000" w:rsidRPr="00000000" w14:paraId="00000011">
      <w:pPr>
        <w:keepNext w:val="1"/>
        <w:pBdr>
          <w:top w:color="1f497d" w:space="1" w:sz="4" w:val="single"/>
          <w:left w:color="1f497d" w:space="4" w:sz="4" w:val="single"/>
          <w:bottom w:color="1f497d" w:space="31" w:sz="4" w:val="single"/>
          <w:right w:color="1f497d" w:space="4" w:sz="4" w:val="single"/>
        </w:pBdr>
        <w:shd w:fill="ffffcc" w:val="clear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pBdr>
          <w:top w:color="1f497d" w:space="1" w:sz="4" w:val="single"/>
          <w:left w:color="1f497d" w:space="4" w:sz="4" w:val="single"/>
          <w:bottom w:color="1f497d" w:space="31" w:sz="4" w:val="single"/>
          <w:right w:color="1f497d" w:space="4" w:sz="4" w:val="single"/>
        </w:pBdr>
        <w:shd w:fill="ffffcc" w:val="clear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Art. 72. O processo de contratação direta, que compreende os casos de inexigibilidade e de dispensa de licitação, deverá ser instruído com os seguintes documentos:</w:t>
      </w:r>
    </w:p>
    <w:p w:rsidR="00000000" w:rsidDel="00000000" w:rsidP="00000000" w:rsidRDefault="00000000" w:rsidRPr="00000000" w14:paraId="00000013">
      <w:pPr>
        <w:keepNext w:val="1"/>
        <w:pBdr>
          <w:top w:color="1f497d" w:space="1" w:sz="4" w:val="single"/>
          <w:left w:color="1f497d" w:space="4" w:sz="4" w:val="single"/>
          <w:bottom w:color="1f497d" w:space="31" w:sz="4" w:val="single"/>
          <w:right w:color="1f497d" w:space="4" w:sz="4" w:val="single"/>
        </w:pBdr>
        <w:shd w:fill="ffffcc" w:val="clear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- Documento de formalização de demanda e, se for o caso, estudo técnico preliminar, análise de riscos, termo de referência, projeto básico ou projeto executivo.</w:t>
      </w:r>
    </w:p>
    <w:p w:rsidR="00000000" w:rsidDel="00000000" w:rsidP="00000000" w:rsidRDefault="00000000" w:rsidRPr="00000000" w14:paraId="00000014">
      <w:pPr>
        <w:keepNext w:val="1"/>
        <w:pBdr>
          <w:top w:color="1f497d" w:space="1" w:sz="4" w:val="single"/>
          <w:left w:color="1f497d" w:space="4" w:sz="4" w:val="single"/>
          <w:bottom w:color="1f497d" w:space="31" w:sz="4" w:val="single"/>
          <w:right w:color="1f497d" w:space="4" w:sz="4" w:val="single"/>
        </w:pBdr>
        <w:shd w:fill="ffffcc" w:val="clear"/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pBdr>
          <w:top w:color="1f497d" w:space="1" w:sz="4" w:val="single"/>
          <w:left w:color="1f497d" w:space="4" w:sz="4" w:val="single"/>
          <w:bottom w:color="1f497d" w:space="31" w:sz="4" w:val="single"/>
          <w:right w:color="1f497d" w:space="4" w:sz="4" w:val="single"/>
        </w:pBdr>
        <w:shd w:fill="ffffcc" w:val="clear"/>
        <w:spacing w:line="240" w:lineRule="auto"/>
        <w:jc w:val="both"/>
        <w:rPr>
          <w:sz w:val="20"/>
          <w:szCs w:val="20"/>
        </w:rPr>
      </w:pPr>
      <w:hyperlink r:id="rId9">
        <w:r w:rsidDel="00000000" w:rsidR="00000000" w:rsidRPr="00000000">
          <w:rPr>
            <w:b w:val="1"/>
            <w:color w:val="0000ff"/>
            <w:sz w:val="20"/>
            <w:szCs w:val="20"/>
            <w:u w:val="single"/>
            <w:rtl w:val="0"/>
          </w:rPr>
          <w:t xml:space="preserve">DECRETO Nº 10.024, DE 20 DE SETEMBRO DE 2019.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pBdr>
          <w:top w:color="1f497d" w:space="1" w:sz="4" w:val="single"/>
          <w:left w:color="1f497d" w:space="4" w:sz="4" w:val="single"/>
          <w:bottom w:color="1f497d" w:space="31" w:sz="4" w:val="single"/>
          <w:right w:color="1f497d" w:space="4" w:sz="4" w:val="single"/>
        </w:pBdr>
        <w:shd w:fill="ffffcc" w:val="clear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pBdr>
          <w:top w:color="1f497d" w:space="1" w:sz="4" w:val="single"/>
          <w:left w:color="1f497d" w:space="4" w:sz="4" w:val="single"/>
          <w:bottom w:color="1f497d" w:space="31" w:sz="4" w:val="single"/>
          <w:right w:color="1f497d" w:space="4" w:sz="4" w:val="single"/>
        </w:pBdr>
        <w:shd w:fill="ffffcc" w:val="clear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Art. 3º Para fins do disposto neste Decreto, considera-se:</w:t>
      </w:r>
    </w:p>
    <w:p w:rsidR="00000000" w:rsidDel="00000000" w:rsidP="00000000" w:rsidRDefault="00000000" w:rsidRPr="00000000" w14:paraId="00000018">
      <w:pPr>
        <w:keepNext w:val="1"/>
        <w:pBdr>
          <w:top w:color="1f497d" w:space="1" w:sz="4" w:val="single"/>
          <w:left w:color="1f497d" w:space="4" w:sz="4" w:val="single"/>
          <w:bottom w:color="1f497d" w:space="31" w:sz="4" w:val="single"/>
          <w:right w:color="1f497d" w:space="4" w:sz="4" w:val="single"/>
        </w:pBdr>
        <w:shd w:fill="ffffcc" w:val="clear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IV - Estudo técnico preliminar - documento constitutivo da primeira etapa do planejamento de uma contratação, que caracteriza o interesse público envolvido e a melhor solução ao problema a ser resolvido e que, na hipótese de conclusão pela viabilidade da contratação, fundamenta o termo de referência.</w:t>
      </w:r>
    </w:p>
    <w:p w:rsidR="00000000" w:rsidDel="00000000" w:rsidP="00000000" w:rsidRDefault="00000000" w:rsidRPr="00000000" w14:paraId="00000019">
      <w:pPr>
        <w:keepNext w:val="1"/>
        <w:pBdr>
          <w:top w:color="1f497d" w:space="1" w:sz="4" w:val="single"/>
          <w:left w:color="1f497d" w:space="4" w:sz="4" w:val="single"/>
          <w:bottom w:color="1f497d" w:space="31" w:sz="4" w:val="single"/>
          <w:right w:color="1f497d" w:space="4" w:sz="4" w:val="single"/>
        </w:pBdr>
        <w:shd w:fill="ffffcc" w:val="clear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pBdr>
          <w:top w:color="1f497d" w:space="1" w:sz="4" w:val="single"/>
          <w:left w:color="1f497d" w:space="4" w:sz="4" w:val="single"/>
          <w:bottom w:color="1f497d" w:space="31" w:sz="4" w:val="single"/>
          <w:right w:color="1f497d" w:space="4" w:sz="4" w:val="single"/>
        </w:pBdr>
        <w:shd w:fill="ffffcc" w:val="clear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Art. 14.  No planejamento do pregão, na forma eletrônica, será observado o seguinte:</w:t>
      </w:r>
    </w:p>
    <w:p w:rsidR="00000000" w:rsidDel="00000000" w:rsidP="00000000" w:rsidRDefault="00000000" w:rsidRPr="00000000" w14:paraId="0000001B">
      <w:pPr>
        <w:keepNext w:val="1"/>
        <w:pBdr>
          <w:top w:color="1f497d" w:space="1" w:sz="4" w:val="single"/>
          <w:left w:color="1f497d" w:space="4" w:sz="4" w:val="single"/>
          <w:bottom w:color="1f497d" w:space="31" w:sz="4" w:val="single"/>
          <w:right w:color="1f497d" w:space="4" w:sz="4" w:val="single"/>
        </w:pBdr>
        <w:shd w:fill="ffffcc" w:val="clear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- Elaboração do estudo técnico preliminar e do termo de referência</w:t>
      </w:r>
    </w:p>
    <w:p w:rsidR="00000000" w:rsidDel="00000000" w:rsidP="00000000" w:rsidRDefault="00000000" w:rsidRPr="00000000" w14:paraId="0000001C">
      <w:pPr>
        <w:keepNext w:val="1"/>
        <w:pBdr>
          <w:top w:color="1f497d" w:space="1" w:sz="4" w:val="single"/>
          <w:left w:color="1f497d" w:space="4" w:sz="4" w:val="single"/>
          <w:bottom w:color="1f497d" w:space="31" w:sz="4" w:val="single"/>
          <w:right w:color="1f497d" w:space="4" w:sz="4" w:val="single"/>
        </w:pBdr>
        <w:shd w:fill="ffffcc" w:val="clear"/>
        <w:spacing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pBdr>
          <w:top w:color="1f497d" w:space="1" w:sz="4" w:val="single"/>
          <w:left w:color="1f497d" w:space="4" w:sz="4" w:val="single"/>
          <w:bottom w:color="1f497d" w:space="31" w:sz="4" w:val="single"/>
          <w:right w:color="1f497d" w:space="4" w:sz="4" w:val="single"/>
        </w:pBdr>
        <w:shd w:fill="ffffcc" w:val="clear"/>
        <w:spacing w:line="240" w:lineRule="auto"/>
        <w:jc w:val="both"/>
        <w:rPr>
          <w:b w:val="1"/>
          <w:sz w:val="20"/>
          <w:szCs w:val="20"/>
        </w:rPr>
      </w:pPr>
      <w:hyperlink r:id="rId10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INSTRUÇÃO NORMATIVA Nº 05, DE 26 DE MAIO DE 2017</w:t>
        </w:r>
      </w:hyperlink>
      <w:r w:rsidDel="00000000" w:rsidR="00000000" w:rsidRPr="00000000">
        <w:rPr>
          <w:b w:val="1"/>
          <w:sz w:val="20"/>
          <w:szCs w:val="20"/>
          <w:rtl w:val="0"/>
        </w:rPr>
        <w:t xml:space="preserve">, alterada pela </w:t>
      </w:r>
      <w:hyperlink r:id="rId11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INSTRUÇÃO NORMATIVA Nº 49, DE 30 DE JUNHO DE 2020</w:t>
        </w:r>
      </w:hyperlink>
      <w:r w:rsidDel="00000000" w:rsidR="00000000" w:rsidRPr="00000000">
        <w:rPr>
          <w:b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E">
      <w:pPr>
        <w:keepNext w:val="1"/>
        <w:pBdr>
          <w:top w:color="1f497d" w:space="1" w:sz="4" w:val="single"/>
          <w:left w:color="1f497d" w:space="4" w:sz="4" w:val="single"/>
          <w:bottom w:color="1f497d" w:space="31" w:sz="4" w:val="single"/>
          <w:right w:color="1f497d" w:space="4" w:sz="4" w:val="single"/>
        </w:pBdr>
        <w:shd w:fill="ffffcc" w:val="clear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pBdr>
          <w:top w:color="1f497d" w:space="1" w:sz="4" w:val="single"/>
          <w:left w:color="1f497d" w:space="4" w:sz="4" w:val="single"/>
          <w:bottom w:color="1f497d" w:space="31" w:sz="4" w:val="single"/>
          <w:right w:color="1f497d" w:space="4" w:sz="4" w:val="single"/>
        </w:pBdr>
        <w:shd w:fill="ffffcc" w:val="clear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Art. 20. O Planejamento da Contratação, para cada serviço a ser contratado, consistirá nas seguintes etapas:</w:t>
      </w:r>
    </w:p>
    <w:p w:rsidR="00000000" w:rsidDel="00000000" w:rsidP="00000000" w:rsidRDefault="00000000" w:rsidRPr="00000000" w14:paraId="00000020">
      <w:pPr>
        <w:keepNext w:val="1"/>
        <w:pBdr>
          <w:top w:color="1f497d" w:space="1" w:sz="4" w:val="single"/>
          <w:left w:color="1f497d" w:space="4" w:sz="4" w:val="single"/>
          <w:bottom w:color="1f497d" w:space="31" w:sz="4" w:val="single"/>
          <w:right w:color="1f497d" w:space="4" w:sz="4" w:val="single"/>
        </w:pBdr>
        <w:shd w:fill="ffffcc" w:val="clear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- Estudos Preliminares.</w:t>
      </w:r>
    </w:p>
    <w:p w:rsidR="00000000" w:rsidDel="00000000" w:rsidP="00000000" w:rsidRDefault="00000000" w:rsidRPr="00000000" w14:paraId="00000021">
      <w:pPr>
        <w:keepNext w:val="1"/>
        <w:pBdr>
          <w:top w:color="1f497d" w:space="1" w:sz="4" w:val="single"/>
          <w:left w:color="1f497d" w:space="4" w:sz="4" w:val="single"/>
          <w:bottom w:color="1f497d" w:space="31" w:sz="4" w:val="single"/>
          <w:right w:color="1f497d" w:space="4" w:sz="4" w:val="single"/>
        </w:pBdr>
        <w:shd w:fill="ffffcc" w:val="clear"/>
        <w:spacing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pBdr>
          <w:top w:color="1f497d" w:space="1" w:sz="4" w:val="single"/>
          <w:left w:color="1f497d" w:space="4" w:sz="4" w:val="single"/>
          <w:bottom w:color="1f497d" w:space="31" w:sz="4" w:val="single"/>
          <w:right w:color="1f497d" w:space="4" w:sz="4" w:val="single"/>
        </w:pBdr>
        <w:shd w:fill="ffffcc" w:val="clear"/>
        <w:spacing w:line="240" w:lineRule="auto"/>
        <w:jc w:val="both"/>
        <w:rPr>
          <w:i w:val="1"/>
          <w:sz w:val="20"/>
          <w:szCs w:val="20"/>
        </w:rPr>
      </w:pPr>
      <w:hyperlink r:id="rId12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INSTRUÇÃO NORMATIVA SEGES Nº 58, DE 8 DE AGOSTO DE 2022</w:t>
        </w:r>
      </w:hyperlink>
      <w:hyperlink r:id="rId13">
        <w:r w:rsidDel="00000000" w:rsidR="00000000" w:rsidRPr="00000000">
          <w:rPr>
            <w:i w:val="1"/>
            <w:color w:val="1155cc"/>
            <w:sz w:val="20"/>
            <w:szCs w:val="20"/>
            <w:u w:val="single"/>
            <w:rtl w:val="0"/>
          </w:rPr>
          <w:t xml:space="preserve">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INFORMAÇÕES BÁSICAS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Número do Estudo Técnico Preliminar: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[informado pelo 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compras.gov.br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].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Categoria do Objeto: 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[bens, serviços, obras e serviços especiais de engenharia, locação de imóveis, alienação/concessão/permissão].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Número do processo: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[não é obrigatório, caso queira, colocar o número do processo SIPAC].</w:t>
      </w:r>
    </w:p>
    <w:p w:rsidR="00000000" w:rsidDel="00000000" w:rsidP="00000000" w:rsidRDefault="00000000" w:rsidRPr="00000000" w14:paraId="00000028">
      <w:pPr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OBJETO/OBJETIVO: </w:t>
      </w:r>
      <w:r w:rsidDel="00000000" w:rsidR="00000000" w:rsidRPr="00000000">
        <w:rPr>
          <w:color w:val="000000"/>
          <w:sz w:val="20"/>
          <w:szCs w:val="20"/>
          <w:u w:val="none"/>
          <w:rtl w:val="0"/>
        </w:rPr>
        <w:t xml:space="preserve">Descrição do objeto de forma precisa, sucinta e clara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[com base no Documento de Formalização de Demanda].</w:t>
        <w:tab/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0" w:firstLine="0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REFERÊNCIA LEGAL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Referências legais diretamente relacionadas ao objeto da contratação.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>
          <w:b w:val="1"/>
          <w:color w:val="000000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0" w:firstLine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DESCRIÇÃO DA NECESSIDADE DA CONTRATAÇÃO 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(Obrigatório: IN 58/2022, Art. 9º, § 1º).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Descrição da necessidade da contratação, considerado o problema a ser resolvido sob a perspectiva do interesse público.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Devem constar, minimamente, os seguintes pontos: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Razão pela qual o material ou o serviço é necessário (É importante apresentar um diagnóstico do cenário atual que justifica a contratação);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Onde serão aplicados os be</w:t>
      </w:r>
      <w:r w:rsidDel="00000000" w:rsidR="00000000" w:rsidRPr="00000000">
        <w:rPr>
          <w:i w:val="1"/>
          <w:sz w:val="20"/>
          <w:szCs w:val="20"/>
          <w:rtl w:val="0"/>
        </w:rPr>
        <w:t xml:space="preserve">ns ou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serviços;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justificativa deve ser clara, precisa e suficiente para demonstrar de forma cabal a necessidade da Administração. Não devem ser usadas justificativas genéricas.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Descrever a necessidade da compra/contratação, evidenciando o problema identificado e a real necessidade que ele requer, bem como o que se almeja alcançar com a contratação.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Interessante definir como se pretende adquirir: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compra parcelada, pgto por serviço realizado?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(Esse tópico mais na frente vai ajudar a definir o tipo de Edital e TR /modelo AGU a ser utilizado. Se será uma IRP ou aquisição,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como será o regime de execução, e se o instrumento contratual ou nota de Empenho ou ATA) 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ÁREA REQUISITANTE: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Listar o(s) órgão(s), setor(es) ou área(s) que solicitou(aram) a contratação com o(s) respectivo(s) responsável(eis) com base no Documento de Formalização de Demanda. Deve ser preenchido no sistema.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0"/>
          <w:szCs w:val="20"/>
          <w:highlight w:val="green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DESCRIÇÃO DOS REQUISITOS DA CONTRATAÇÃO 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(Não é obrigatório, mas o não preenchimento deve ser justificado: IN 58/2022, Art. 9º, §1º).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Descrição dos requisitos necessários e suficientes à escolha da solução, prevendo critérios e práticas de sustentabilidade</w:t>
      </w:r>
      <w:r w:rsidDel="00000000" w:rsidR="00000000" w:rsidRPr="00000000">
        <w:rPr>
          <w:i w:val="1"/>
          <w:sz w:val="20"/>
          <w:szCs w:val="20"/>
          <w:rtl w:val="0"/>
        </w:rPr>
        <w:t xml:space="preserve">, observadas as leis ou regulamentações específicas, bem como padrões mínimos de qualidade e desempenho.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14">
        <w:r w:rsidDel="00000000" w:rsidR="00000000" w:rsidRPr="00000000">
          <w:rPr>
            <w:rFonts w:ascii="Arial" w:cs="Arial" w:eastAsia="Arial" w:hAnsi="Arial"/>
            <w:b w:val="0"/>
            <w:i w:val="1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São os requisitos que a solução contratada deverá atender, incluindo os requisitos mínimos de qualidade, de modo a possibilitar a seleção da proposta mais vantajosa mediante competição. </w:t>
        </w:r>
      </w:hyperlink>
      <w:hyperlink r:id="rId15">
        <w:r w:rsidDel="00000000" w:rsidR="00000000" w:rsidRPr="00000000">
          <w:rPr>
            <w:rFonts w:ascii="Arial" w:cs="Arial" w:eastAsia="Arial" w:hAnsi="Arial"/>
            <w:b w:val="0"/>
            <w:i w:val="1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Os requisitos devem ser indispensáveis ao atendimento da necessidade que originou a contratação, devendo ser elencados os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hyperlink r:id="rId16">
        <w:r w:rsidDel="00000000" w:rsidR="00000000" w:rsidRPr="00000000">
          <w:rPr>
            <w:rFonts w:ascii="Arial" w:cs="Arial" w:eastAsia="Arial" w:hAnsi="Arial"/>
            <w:b w:val="0"/>
            <w:i w:val="1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requisitos necessários (não mais que o necessário, para não restringir a competição indevidamente)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hyperlink r:id="rId17">
        <w:r w:rsidDel="00000000" w:rsidR="00000000" w:rsidRPr="00000000">
          <w:rPr>
            <w:rFonts w:ascii="Arial" w:cs="Arial" w:eastAsia="Arial" w:hAnsi="Arial"/>
            <w:b w:val="0"/>
            <w:i w:val="1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 e suficientes (não menos que o necessário, de forma que o objeto não fique precisamente definido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18">
        <w:r w:rsidDel="00000000" w:rsidR="00000000" w:rsidRPr="00000000">
          <w:rPr>
            <w:rFonts w:ascii="Arial" w:cs="Arial" w:eastAsia="Arial" w:hAnsi="Arial"/>
            <w:b w:val="0"/>
            <w:i w:val="1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Os requisitos da contratação devem ser tais que não permitam a contratação de uma solução que não atenda a necessidade que originou a contratação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Especificar quais são os requisitos indispensáveis de que o objeto a adquirir/contratar deve dispor para atender à demanda, incluindo padrões mínimos de qualidade, de forma a permitir a seleção da proposta mais vantajosa. Incluir, se possível, critérios e práticas de sustentabilidade devem ser veiculados como especificações técnicas do objeto ou como obrigação da contratada.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Requisitos do objeto;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Requisitos do fornecedor;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Em caso de serviço continuado, qual a justificativa legal para classificar como serviço contínuo?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Quais os documentos o licitante deve apresentar? Definir quais os Documentos de habilitação técnica.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Há necessidade de apresentar atestados de capacidade técnica? Como deve apresentar esses atestados?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Será necessário visita ou não? (atestado de vis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toria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caso seja obrigatória, ou declaração de pleno conhecimento do objeto)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Quais os requisitos de sustentabilidade?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Qual </w:t>
      </w:r>
      <w:r w:rsidDel="00000000" w:rsidR="00000000" w:rsidRPr="00000000">
        <w:rPr>
          <w:i w:val="1"/>
          <w:sz w:val="20"/>
          <w:szCs w:val="20"/>
          <w:rtl w:val="0"/>
        </w:rPr>
        <w:t xml:space="preserve">será a duração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contrato?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Será permitida a transição contratual?</w:t>
      </w:r>
    </w:p>
    <w:p w:rsidR="00000000" w:rsidDel="00000000" w:rsidP="00000000" w:rsidRDefault="00000000" w:rsidRPr="00000000" w14:paraId="0000004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LEVANTAMENTO DE MERCADO 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(Não é obrigatório, mas o não preenchimento deve ser justificado: IN 58/2022, Art. 9º, §1º).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Consiste na </w:t>
      </w:r>
      <w:r w:rsidDel="00000000" w:rsidR="00000000" w:rsidRPr="00000000">
        <w:rPr>
          <w:i w:val="1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nálise das alternativas possíveis, e justif</w:t>
      </w:r>
      <w:r w:rsidDel="00000000" w:rsidR="00000000" w:rsidRPr="00000000">
        <w:rPr>
          <w:i w:val="1"/>
          <w:sz w:val="20"/>
          <w:szCs w:val="20"/>
          <w:rtl w:val="0"/>
        </w:rPr>
        <w:t xml:space="preserve">icativa técnica e econômica da escolha do tipo de solução a contratar, podendo,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entre outras opções: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a) ser consideradas contratações similares feitas por outros órgãos e entidades p</w:t>
      </w:r>
      <w:r w:rsidDel="00000000" w:rsidR="00000000" w:rsidRPr="00000000">
        <w:rPr>
          <w:i w:val="1"/>
          <w:sz w:val="20"/>
          <w:szCs w:val="20"/>
          <w:rtl w:val="0"/>
        </w:rPr>
        <w:t xml:space="preserve">úblicas, bem como por organizações privadas, no contexto nacional ou internacional,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 objetivo de identificar a existência de novas metodologias, tecnologias ou inovações que melhor atendam às necessidades da administração;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b) ser realizada audiência e/ou consulta</w:t>
      </w:r>
      <w:r w:rsidDel="00000000" w:rsidR="00000000" w:rsidRPr="00000000">
        <w:rPr>
          <w:i w:val="1"/>
          <w:sz w:val="20"/>
          <w:szCs w:val="20"/>
          <w:rtl w:val="0"/>
        </w:rPr>
        <w:t xml:space="preserve"> pú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blica, preferencialmente na </w:t>
      </w:r>
      <w:r w:rsidDel="00000000" w:rsidR="00000000" w:rsidRPr="00000000">
        <w:rPr>
          <w:i w:val="1"/>
          <w:sz w:val="20"/>
          <w:szCs w:val="20"/>
          <w:rtl w:val="0"/>
        </w:rPr>
        <w:t xml:space="preserve">forma eletrônica,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para coleta de contribuições. Caso, após o levantamento do mercado, a quantidade de fornecedores for considerada restrita, deve-se verificar se os requisitos que limitam a participação são realmente indispensáveis, flexibilizando-os sempre que possível.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c) em caso de possibilidade de compra, locação de bens ou do acesso a bens, ser avaliados os custos e os benefícios de cada opção para escolha da alternativa mais vantajosa, prospectando-se arranjos inovadores em sede de economia circular; e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d) ser consideradas outras opções logísticas menos onerosas à Administração, tais como chamamentos  públicos de doação e permutas.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b w:val="1"/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Observação: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Adicionalmente, em caso de importação (compra direta de fornecedor estrangeiro):</w:t>
      </w:r>
    </w:p>
    <w:p w:rsidR="00000000" w:rsidDel="00000000" w:rsidP="00000000" w:rsidRDefault="00000000" w:rsidRPr="00000000" w14:paraId="0000004F">
      <w:pPr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</w:pBdr>
        <w:shd w:fill="ffffcc" w:val="clear"/>
        <w:spacing w:after="240" w:before="240"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“Deve-se agregar ao ETP a justificativa de que 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é vantajosa a aquisição por importação em detrimento de uma possível aquisição do bem no mercado interno</w:t>
      </w:r>
      <w:r w:rsidDel="00000000" w:rsidR="00000000" w:rsidRPr="00000000">
        <w:rPr>
          <w:i w:val="1"/>
          <w:sz w:val="20"/>
          <w:szCs w:val="20"/>
          <w:rtl w:val="0"/>
        </w:rPr>
        <w:t xml:space="preserve"> (antes, deve ser esclarecido se há, de fato, essa possibilidade). Isso porque, muito embora haja a isenção especial da alta carga tributária incidente na importação (desoneração relevante, sem dúvidas), os custos com a logística de importação, a alta cotação do dólar e os riscos de não haver cobertura de garantia contra vícios do produto (caso a empresa não disponha de representação no Brasil) são elementos que devem ser considerados na tomada de decisão do gestor antes de se concluir pela vantajosidade da importação.” (Pareceres n. 00086 e 00088/2021/NLICIT/PFUFSC/PGF/AGU)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DESCRIÇÃO DA SOLUÇÃO COMO UM TODO 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(Não é obrigatório, mas o não preenchimento deve ser justificado: IN 58/2022, Art. 9º, §1º).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Descrição dos aspectos gerais da aquisição/contratação, bem como as exigências relacionadas à manutenção, assistência técnica, garantia quando for o caso, acompanhada das justificativas técnica e econômica da escolha do tipo de solução.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ESTIMATIVAS DAS QUANTIDADES A SEREM CONTRATADAS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(Obrigatório: IN 58/2022, Art. 9º, § 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1º)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Estimativa das quantidades a serem contratadas, acompanhada das memórias de cálculo e dos documentos que lhe dão suporte.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Exemplos: quantidades a serem adquiridas em função do consumo provável utilização, devendo a estimativa ser obtida a partir do consumo do exercício anterior, necessidade de substituição dos bens atualmente disponíveis, implantação de unidades, acréscimo de atividades, levantamento de demanda, etc.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Justificar, em observância 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disposto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no Art. </w:t>
      </w:r>
      <w:r w:rsidDel="00000000" w:rsidR="00000000" w:rsidRPr="00000000">
        <w:rPr>
          <w:i w:val="1"/>
          <w:sz w:val="20"/>
          <w:szCs w:val="20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, III, da Lei n° </w:t>
      </w:r>
      <w:r w:rsidDel="00000000" w:rsidR="00000000" w:rsidRPr="00000000">
        <w:rPr>
          <w:i w:val="1"/>
          <w:sz w:val="20"/>
          <w:szCs w:val="20"/>
          <w:rtl w:val="0"/>
        </w:rPr>
        <w:t xml:space="preserve">14.133/2021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, as quantida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 a serem adquiridas devem ser justificadas em função do consumo e provável utilização, devendo a estimativa ser obtida, a partir de fatos concretos (Ex: série histórica do consumo - atendo-se a eventual ocorrência vindoura capaz de impactar o quantitativo demandado, criação de órgão, acréscimo de atividades, necessidade de substituição de bens atualmente disponíveis, etc). A estimativa das quantidades a serem contratadas deve ser acompanhada das memórias de cálculo e dos documentos que lhe dão suporte, considerando a interdependência com outras contratações, de modo a possibilitar economia de escala.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ESTIMATIVA DO VALOR DA CONTRATAÇÃO 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(Obrigatório: IN 58/2022, Art. 9º, § 1º)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Estimar o valor da contratação, acompanhado dos preços unitários referenciais, das memórias de cálculo e dos documentos que lhe dão suporte, que poderão constar de anexo classificado, se a administração optar por preservar o seu sigilo até a conclusão da licitação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(Art. 9º inciso, VI, IN </w:t>
      </w:r>
      <w:r w:rsidDel="00000000" w:rsidR="00000000" w:rsidRPr="00000000">
        <w:rPr>
          <w:i w:val="1"/>
          <w:sz w:val="20"/>
          <w:szCs w:val="20"/>
          <w:rtl w:val="0"/>
        </w:rPr>
        <w:t xml:space="preserve">58/2022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Preço estimado: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valor obtido a partir de método matemático aplicado em série de preços coletados, </w:t>
      </w:r>
      <w:r w:rsidDel="00000000" w:rsidR="00000000" w:rsidRPr="00000000">
        <w:rPr>
          <w:i w:val="1"/>
          <w:sz w:val="20"/>
          <w:szCs w:val="20"/>
          <w:rtl w:val="0"/>
        </w:rPr>
        <w:t xml:space="preserve">devendo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desconsiderar, na sua formação, os valores inexequíveis, inconsistentes e os excessivamente elevados;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(Art. 2º, Inc. I, da IN </w:t>
      </w:r>
      <w:r w:rsidDel="00000000" w:rsidR="00000000" w:rsidRPr="00000000">
        <w:rPr>
          <w:i w:val="1"/>
          <w:sz w:val="20"/>
          <w:szCs w:val="20"/>
          <w:rtl w:val="0"/>
        </w:rPr>
        <w:t xml:space="preserve">65/2021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SEGES/ME)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Preço máximo: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valor de limite que a administração se dispõe a pagar por determinado objeto, levando-se em consideração o preço estimado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os aspectos mercadológicos próprios à negociação com o setor público e os recursos orçamentários disponíveis.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UFPE Preço Estimado = Preço Máximo Aceitável</w:t>
      </w:r>
    </w:p>
    <w:p w:rsidR="00000000" w:rsidDel="00000000" w:rsidP="00000000" w:rsidRDefault="00000000" w:rsidRPr="00000000" w14:paraId="0000005D">
      <w:pPr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Cabe ao agente público analisar as alternativas apresentadas no Painel de Preços e, de acordo com oportunidade e conveniência, elaborar a cesta de preços aceitáveis condizente com sua realidade.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Necessidade de identificação do(s) agente(s) responsável(is) pela </w:t>
      </w:r>
      <w:r w:rsidDel="00000000" w:rsidR="00000000" w:rsidRPr="00000000">
        <w:rPr>
          <w:i w:val="1"/>
          <w:sz w:val="20"/>
          <w:szCs w:val="20"/>
          <w:rtl w:val="0"/>
        </w:rPr>
        <w:t xml:space="preserve">pesquisa de preços ou, se for o caso, da equipe de planejamento da contratação.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(Art. </w:t>
      </w:r>
      <w:r w:rsidDel="00000000" w:rsidR="00000000" w:rsidRPr="00000000">
        <w:rPr>
          <w:i w:val="1"/>
          <w:sz w:val="20"/>
          <w:szCs w:val="20"/>
          <w:rtl w:val="0"/>
        </w:rPr>
        <w:t xml:space="preserve">3º, Inc II,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da IN </w:t>
      </w:r>
      <w:r w:rsidDel="00000000" w:rsidR="00000000" w:rsidRPr="00000000">
        <w:rPr>
          <w:i w:val="1"/>
          <w:sz w:val="20"/>
          <w:szCs w:val="20"/>
          <w:rtl w:val="0"/>
        </w:rPr>
        <w:t xml:space="preserve">65/2021)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pesquisa de preços, sempre que possível, deverão ser observadas as condições comerciais praticadas, incluindo prazos e locais de entrega, instalação e montagem do bem ou execução do serviço, formas de pagamento, fretes, garantias exigidas e marcas e modelos, quando for o caso.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Observação: São ferramentas de pesquisa de preços: Painel de Preços, Banco de Preços, Pesquisa de Preços do ComprasGov, Cotações com fornecedores, Contratos anteriores, Tabelas de preços referenciais, Mídia Especializada, entre outras.</w:t>
      </w:r>
    </w:p>
    <w:p w:rsidR="00000000" w:rsidDel="00000000" w:rsidP="00000000" w:rsidRDefault="00000000" w:rsidRPr="00000000" w14:paraId="00000062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METODOLOGIA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Serão utilizados, como métodos para obtenção do preço estimado, a média, a mediana ou o menor dos valores obtidos na pesquisa de preços, desde que o cálculo incida sobre um conjunto de três ou mais preços, oriundos de um ou mais dos parâmetros de que trata o art. 5º, desconsiderados os valores inexequíveis, inconsistentes e os excessivamente elevados.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CAPUT, art 6º da IN </w:t>
      </w:r>
      <w:r w:rsidDel="00000000" w:rsidR="00000000" w:rsidRPr="00000000">
        <w:rPr>
          <w:i w:val="1"/>
          <w:sz w:val="20"/>
          <w:szCs w:val="20"/>
          <w:rtl w:val="0"/>
        </w:rPr>
        <w:t xml:space="preserve">65/2021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SEGES/ME)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right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JUSTIFICATIVA PARA O PARCELAMENTO OU NÃO DA SOLUÇÃO 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(Obrigatório: IN 58/2022, Art. 9º, § 1º)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regra a ser observada pela Administração nas licitações é a do parcelamento do objeto, conforme disposto no inciso II do art. 47 da </w:t>
      </w:r>
      <w:r w:rsidDel="00000000" w:rsidR="00000000" w:rsidRPr="00000000">
        <w:rPr>
          <w:i w:val="1"/>
          <w:sz w:val="20"/>
          <w:szCs w:val="20"/>
          <w:rtl w:val="0"/>
        </w:rPr>
        <w:t xml:space="preserve">Lei nº 14.133, de 2021,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mas é imprescindível que a divisão do objeto seja técnica e economicamente viável e não represente perda de economia de 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scala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(Súmula 247 do TCU)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Por ser o parcelamento a regra, deve haver justificativa quando este não for adotado.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É imprescindível informar se a divisão do objeto representa, ou não, perda de economia de escala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(Súmula 247 do TCU).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Por ser o parcelamento a regra, deve haver justificativa quando este não for adotado.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Observação: O parcelamento, neste caso, trata do fracionamento da solução em itens independentes, ou seja, se há a possibilidade de a solução possuir mais de um vencedor - o que é recomendado.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CONTRATAÇÕES CORRELATAS E/OU INTERDEPENDENTES 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(Não é obrigatório, mas o não preenchimento deve ser justificado: IN 58/2022, Art. 9º, §1º).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Informar se há contratações que guardam relação/afinidade com o objeto da compra/contratação pretendida, sejam elas já realizadas, ou contratações futuras.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5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Contratações correlatas são aquelas que guardam relação com o objeto principal, mas que não precisam, necessariamente, ser adquiridas para a completa prestação do objeto principal;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5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Contratações interdependentes são aquelas que precisam ser contratadas juntamente com o objeto principal para a sua completa prestação.</w:t>
      </w:r>
    </w:p>
    <w:p w:rsidR="00000000" w:rsidDel="00000000" w:rsidP="00000000" w:rsidRDefault="00000000" w:rsidRPr="00000000" w14:paraId="0000007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ALINHAMENTO ENTRE A CONTRATAÇÃO E O PLANEJAMENTO 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(Não é obrigatório, mas o não preenchimento deve ser justificado: IN 58/2022, Art. 9º, §1º).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Indicar se a contratação está prevista no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Plano de Contratações An</w:t>
      </w:r>
      <w:r w:rsidDel="00000000" w:rsidR="00000000" w:rsidRPr="00000000">
        <w:rPr>
          <w:i w:val="1"/>
          <w:sz w:val="20"/>
          <w:szCs w:val="20"/>
          <w:rtl w:val="0"/>
        </w:rPr>
        <w:t xml:space="preserve">ual (PCA)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da Universidade. Se não estiver, justificar sua ausência.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Indicar se a contratação est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á alinhada aos planos instituídos pelo órgão tais como: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Plano de Desenvolvimento Institucional (PDI), Plano de </w:t>
      </w:r>
      <w:r w:rsidDel="00000000" w:rsidR="00000000" w:rsidRPr="00000000">
        <w:rPr>
          <w:i w:val="1"/>
          <w:sz w:val="20"/>
          <w:szCs w:val="20"/>
          <w:rtl w:val="0"/>
        </w:rPr>
        <w:t xml:space="preserve">Desenvolvimento da Unidade(PDU)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etc (observação: indicar a ação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É imprescindível </w:t>
      </w:r>
      <w:r w:rsidDel="00000000" w:rsidR="00000000" w:rsidRPr="00000000">
        <w:rPr>
          <w:i w:val="1"/>
          <w:sz w:val="20"/>
          <w:szCs w:val="20"/>
          <w:rtl w:val="0"/>
        </w:rPr>
        <w:t xml:space="preserve">demonstrativo da</w:t>
      </w:r>
      <w:r w:rsidDel="00000000" w:rsidR="00000000" w:rsidRPr="00000000">
        <w:rPr>
          <w:i w:val="1"/>
          <w:sz w:val="20"/>
          <w:szCs w:val="20"/>
          <w:rtl w:val="0"/>
        </w:rPr>
        <w:t xml:space="preserve"> previsão da contratação no Plano de Contratações Anual, de modo a indicar o seu alinhamento com os instrumentos de planejamento do órgão ou entidade.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(inciso IX, art. </w:t>
      </w:r>
      <w:r w:rsidDel="00000000" w:rsidR="00000000" w:rsidRPr="00000000">
        <w:rPr>
          <w:i w:val="1"/>
          <w:sz w:val="20"/>
          <w:szCs w:val="20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º, IN </w:t>
      </w:r>
      <w:r w:rsidDel="00000000" w:rsidR="00000000" w:rsidRPr="00000000">
        <w:rPr>
          <w:i w:val="1"/>
          <w:sz w:val="20"/>
          <w:szCs w:val="20"/>
          <w:rtl w:val="0"/>
        </w:rPr>
        <w:t xml:space="preserve">58/2022 SEGES/ME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)</w:t>
      </w:r>
      <w:r w:rsidDel="00000000" w:rsidR="00000000" w:rsidRPr="00000000">
        <w:rPr>
          <w:i w:val="1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BENEFÍCIOS A SEREM ALCANÇADOS COM A CONTRATAÇÃO 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(Não é obrigatório, mas o não preenchimento deve ser justificado: IN 58/2022, Art. 9º, §1º).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Declarar os benefícios diretos e indiretos que o órgão almeja com a contratação, em termos de economicidade</w:t>
      </w:r>
      <w:r w:rsidDel="00000000" w:rsidR="00000000" w:rsidRPr="00000000">
        <w:rPr>
          <w:i w:val="1"/>
          <w:sz w:val="20"/>
          <w:szCs w:val="20"/>
          <w:rtl w:val="0"/>
        </w:rPr>
        <w:t xml:space="preserve"> 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melhor aproveitamento dos recursos humanos, materiais e financeiros disponíveis</w:t>
      </w:r>
      <w:r w:rsidDel="00000000" w:rsidR="00000000" w:rsidRPr="00000000">
        <w:rPr>
          <w:i w:val="1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(inciso X, art. </w:t>
      </w:r>
      <w:r w:rsidDel="00000000" w:rsidR="00000000" w:rsidRPr="00000000">
        <w:rPr>
          <w:i w:val="1"/>
          <w:sz w:val="20"/>
          <w:szCs w:val="20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º, IN </w:t>
      </w:r>
      <w:r w:rsidDel="00000000" w:rsidR="00000000" w:rsidRPr="00000000">
        <w:rPr>
          <w:i w:val="1"/>
          <w:sz w:val="20"/>
          <w:szCs w:val="20"/>
          <w:rtl w:val="0"/>
        </w:rPr>
        <w:t xml:space="preserve">58/2022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(por exemplo, diminuição do consumo de papel ou de energia elétrica), bem como, se for o caso, de melhoria da qualidade de produtos ou serviços oferecidos à sociedade.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Observação: É preciso demonstrar os ganhos diretos e indiretos que se almeja com a contratação, essencialmente de efetividade e de desenvolvimento nacional sustentável e sempre que possível, em termos de economicidade, eficácia, eficiência, de melhor aproveitamento dos recursos humanos, materiais ou financeiros disponíveis.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PROVIDÊNCIAS A SEREM ADOTADAS 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(Não é obrigatório, mas o não preenchimento deve ser justificado: IN 58/2022, Art. 9º, §1º).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Indicar, se for o caso, as providências a serem adotadas pela administração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previamente à celebração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contrato, tais como adaptações no ambiente</w:t>
      </w:r>
      <w:r w:rsidDel="00000000" w:rsidR="00000000" w:rsidRPr="00000000">
        <w:rPr>
          <w:i w:val="1"/>
          <w:sz w:val="20"/>
          <w:szCs w:val="20"/>
          <w:rtl w:val="0"/>
        </w:rPr>
        <w:t xml:space="preserve"> do órgão ou da entidade, necessidade de obtenção de licenças, outorgas ou autorizações, capacitação de servidores ou de empregados para fiscalização e gestão contratual.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(inciso XI, art. </w:t>
      </w:r>
      <w:r w:rsidDel="00000000" w:rsidR="00000000" w:rsidRPr="00000000">
        <w:rPr>
          <w:i w:val="1"/>
          <w:sz w:val="20"/>
          <w:szCs w:val="20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º, IN </w:t>
      </w:r>
      <w:r w:rsidDel="00000000" w:rsidR="00000000" w:rsidRPr="00000000">
        <w:rPr>
          <w:i w:val="1"/>
          <w:sz w:val="20"/>
          <w:szCs w:val="20"/>
          <w:rtl w:val="0"/>
        </w:rPr>
        <w:t xml:space="preserve">58/2022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São os ajustes que precisam ser feitos no ambiente do órgão para que a contratação atenda à necessidade de negócio, em função do impacto esperado dos trabalhos da contratada durante a construção, implantação e operação da solução junto ao órgão, bem como da solução após a sua implantação (Exemplos: Infraestrutura tecnológica, elétrica, espaço físico; capacitação e etc)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green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POSSÍVEIS IMPACTOS AMBIENTAIS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(Não é obrigatório, mas o não preenchimento deve ser justificado: IN 58/2022, Art. 9º, §1º).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Descrever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os possíveis impactos ambientais</w:t>
      </w:r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 respectivas medidas mitigadoras, incluídos requisitos de baixo consumo de energia e de outros recursos, bem como logística reversa pa</w:t>
      </w:r>
      <w:r w:rsidDel="00000000" w:rsidR="00000000" w:rsidRPr="00000000">
        <w:rPr>
          <w:i w:val="1"/>
          <w:sz w:val="20"/>
          <w:szCs w:val="20"/>
          <w:rtl w:val="0"/>
        </w:rPr>
        <w:t xml:space="preserve">ra desfazimento e reciclagem de bens e refugos, quando aplicável.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(inciso XII, art. </w:t>
      </w:r>
      <w:r w:rsidDel="00000000" w:rsidR="00000000" w:rsidRPr="00000000">
        <w:rPr>
          <w:i w:val="1"/>
          <w:sz w:val="20"/>
          <w:szCs w:val="20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º, IN </w:t>
      </w:r>
      <w:r w:rsidDel="00000000" w:rsidR="00000000" w:rsidRPr="00000000">
        <w:rPr>
          <w:i w:val="1"/>
          <w:sz w:val="20"/>
          <w:szCs w:val="20"/>
          <w:rtl w:val="0"/>
        </w:rPr>
        <w:t xml:space="preserve">58/2022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Observação: Atentar-se para o </w:t>
      </w:r>
      <w:hyperlink r:id="rId19">
        <w:r w:rsidDel="00000000" w:rsidR="00000000" w:rsidRPr="00000000">
          <w:rPr>
            <w:i w:val="1"/>
            <w:color w:val="1155cc"/>
            <w:sz w:val="20"/>
            <w:szCs w:val="20"/>
            <w:u w:val="single"/>
            <w:rtl w:val="0"/>
          </w:rPr>
          <w:t xml:space="preserve">Guia Nacional de Contratações Sustentáveis da AGU e CGU</w:t>
        </w:r>
      </w:hyperlink>
      <w:r w:rsidDel="00000000" w:rsidR="00000000" w:rsidRPr="00000000">
        <w:rPr>
          <w:i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POSICIONAMENTO CONCLUSIVO SOBRE A VIABILIDADE E RAZOABILIDADE DA CONTRATAÇÃO. 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(Obrigatório: IN 58/2022, Art. 9º, § 1º)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Explicitamente declarar que a contratação é viável ou que a contratação não é viável,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justificando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com base nos elementos anteriores dos Estudos Preliminares.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Posicionamento conclusivo sobre a </w:t>
      </w:r>
      <w:r w:rsidDel="00000000" w:rsidR="00000000" w:rsidRPr="00000000">
        <w:rPr>
          <w:i w:val="1"/>
          <w:sz w:val="20"/>
          <w:szCs w:val="20"/>
          <w:rtl w:val="0"/>
        </w:rPr>
        <w:t xml:space="preserve">adequação da contratação para o atendimento da necessidade a que se destina. </w:t>
      </w:r>
      <w:r w:rsidDel="00000000" w:rsidR="00000000" w:rsidRPr="00000000">
        <w:rPr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(inciso XIII, art. </w:t>
      </w:r>
      <w:r w:rsidDel="00000000" w:rsidR="00000000" w:rsidRPr="00000000">
        <w:rPr>
          <w:i w:val="1"/>
          <w:sz w:val="20"/>
          <w:szCs w:val="20"/>
          <w:rtl w:val="0"/>
        </w:rPr>
        <w:t xml:space="preserve">9</w:t>
      </w:r>
      <w:r w:rsidDel="00000000" w:rsidR="00000000" w:rsidRPr="00000000">
        <w:rPr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º, IN </w:t>
      </w:r>
      <w:r w:rsidDel="00000000" w:rsidR="00000000" w:rsidRPr="00000000">
        <w:rPr>
          <w:i w:val="1"/>
          <w:sz w:val="20"/>
          <w:szCs w:val="20"/>
          <w:rtl w:val="0"/>
        </w:rPr>
        <w:t xml:space="preserve">58/2022</w:t>
      </w:r>
      <w:r w:rsidDel="00000000" w:rsidR="00000000" w:rsidRPr="00000000">
        <w:rPr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)</w:t>
      </w:r>
      <w:r w:rsidDel="00000000" w:rsidR="00000000" w:rsidRPr="00000000">
        <w:rPr>
          <w:i w:val="1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color="1f497d" w:space="1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Importante destacar que a justificativa da declaração de viabilidade da contratação é diferente da justificativa que motiva a demanda.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RESPONSÁVEIS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0"/>
          <w:szCs w:val="20"/>
          <w:highlight w:val="white"/>
          <w:u w:val="none"/>
          <w:vertAlign w:val="baseline"/>
          <w:rtl w:val="0"/>
        </w:rPr>
        <w:t xml:space="preserve">(Deve ser preenchido no sistema)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color="1f497d" w:space="0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Listar os responsáveis (Nome/CPF/cargo/função).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color="1f497d" w:space="0" w:sz="4" w:val="single"/>
          <w:left w:color="1f497d" w:space="4" w:sz="4" w:val="single"/>
          <w:bottom w:color="1f497d" w:space="1" w:sz="4" w:val="single"/>
          <w:right w:color="1f497d" w:space="4" w:sz="4" w:val="single"/>
          <w:between w:space="0" w:sz="0" w:val="nil"/>
        </w:pBdr>
        <w:shd w:fill="ffffcc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Aqueles indicados no DFD para compor a equipe de planejamento da contratação, e que deverão assinar eletronicamente no SIPAC quando o ETP for inserido nos autos do processo eletrônico. Os</w:t>
      </w:r>
      <w:r w:rsidDel="00000000" w:rsidR="00000000" w:rsidRPr="00000000">
        <w:rPr>
          <w:i w:val="1"/>
          <w:sz w:val="20"/>
          <w:szCs w:val="20"/>
          <w:rtl w:val="0"/>
        </w:rPr>
        <w:t xml:space="preserve"> membros da equipe de planejamento serão indicados como agentes de contratação e/ou equipe de apoio, enquanto que o/a ordenador/a de despesas será indicado/a como autoridade competente.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Recife, ___ de __________ de 202__ .</w:t>
      </w:r>
    </w:p>
    <w:p w:rsidR="00000000" w:rsidDel="00000000" w:rsidP="00000000" w:rsidRDefault="00000000" w:rsidRPr="00000000" w14:paraId="0000008C">
      <w:pPr>
        <w:tabs>
          <w:tab w:val="left" w:leader="none" w:pos="2385"/>
        </w:tabs>
        <w:jc w:val="center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2385"/>
        </w:tabs>
        <w:jc w:val="center"/>
        <w:rPr>
          <w:color w:val="ff0000"/>
          <w:sz w:val="20"/>
          <w:szCs w:val="20"/>
          <w:highlight w:val="yellow"/>
        </w:rPr>
      </w:pPr>
      <w:r w:rsidDel="00000000" w:rsidR="00000000" w:rsidRPr="00000000">
        <w:rPr>
          <w:b w:val="1"/>
          <w:sz w:val="20"/>
          <w:szCs w:val="20"/>
          <w:highlight w:val="yellow"/>
          <w:rtl w:val="0"/>
        </w:rPr>
        <w:t xml:space="preserve">LISTA DE ANEXOS</w:t>
      </w:r>
      <w:r w:rsidDel="00000000" w:rsidR="00000000" w:rsidRPr="00000000">
        <w:rPr>
          <w:rtl w:val="0"/>
        </w:rPr>
      </w:r>
    </w:p>
    <w:sectPr>
      <w:headerReference r:id="rId20" w:type="default"/>
      <w:pgSz w:h="16838" w:w="11906" w:orient="portrait"/>
      <w:pgMar w:bottom="1134" w:top="1134" w:left="1134" w:right="1134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b w:val="1"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ind w:left="0" w:firstLine="0"/>
      </w:pPr>
      <w:rPr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0" w:firstLine="0"/>
      </w:pPr>
      <w:rPr/>
    </w:lvl>
    <w:lvl w:ilvl="3">
      <w:start w:val="1"/>
      <w:numFmt w:val="decimal"/>
      <w:lvlText w:val="%1.%2.%3.%4"/>
      <w:lvlJc w:val="left"/>
      <w:pPr>
        <w:ind w:left="0" w:firstLine="0"/>
      </w:pPr>
      <w:rPr/>
    </w:lvl>
    <w:lvl w:ilvl="4">
      <w:start w:val="1"/>
      <w:numFmt w:val="decimal"/>
      <w:lvlText w:val="%1.%2.%3.%4.%5"/>
      <w:lvlJc w:val="left"/>
      <w:pPr>
        <w:ind w:left="0" w:firstLine="0"/>
      </w:pPr>
      <w:rPr/>
    </w:lvl>
    <w:lvl w:ilvl="5">
      <w:start w:val="1"/>
      <w:numFmt w:val="decimal"/>
      <w:lvlText w:val="%1.%2.%3.%4.%5.%6"/>
      <w:lvlJc w:val="left"/>
      <w:pPr>
        <w:ind w:left="0" w:firstLine="0"/>
      </w:pPr>
      <w:rPr/>
    </w:lvl>
    <w:lvl w:ilvl="6">
      <w:start w:val="1"/>
      <w:numFmt w:val="decimal"/>
      <w:lvlText w:val="%1.%2.%3.%4.%5.%6.%7"/>
      <w:lvlJc w:val="left"/>
      <w:pPr>
        <w:ind w:left="0" w:firstLine="0"/>
      </w:pPr>
      <w:rPr/>
    </w:lvl>
    <w:lvl w:ilvl="7">
      <w:start w:val="1"/>
      <w:numFmt w:val="decimal"/>
      <w:lvlText w:val="%1.%2.%3.%4.%5.%6.%7.%8"/>
      <w:lvlJc w:val="left"/>
      <w:pPr>
        <w:ind w:left="0" w:firstLine="0"/>
      </w:pPr>
      <w:rPr/>
    </w:lvl>
    <w:lvl w:ilvl="8">
      <w:start w:val="1"/>
      <w:numFmt w:val="decimal"/>
      <w:lvlText w:val="%1.%2.%3.%4.%5.%6.%7.%8.%9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bidi w:val="0"/>
      <w:spacing w:line="276" w:lineRule="auto"/>
    </w:pPr>
    <w:rPr>
      <w:rFonts w:ascii="Arial" w:cs="Arial" w:eastAsia="Arial" w:hAnsi="Arial"/>
      <w:color w:val="000000"/>
      <w:sz w:val="22"/>
      <w:szCs w:val="22"/>
      <w:lang w:bidi="ar-SA" w:eastAsia="pt-BR" w:val="pt-BR"/>
    </w:rPr>
  </w:style>
  <w:style w:type="paragraph" w:styleId="Heading1">
    <w:name w:val="Heading 1"/>
    <w:basedOn w:val="Normal1"/>
    <w:next w:val="Normal1"/>
    <w:qFormat w:val="1"/>
    <w:pPr>
      <w:keepNext w:val="1"/>
      <w:keepLines w:val="1"/>
      <w:numPr>
        <w:ilvl w:val="0"/>
        <w:numId w:val="1"/>
      </w:numPr>
      <w:spacing w:after="120" w:before="400"/>
      <w:contextualSpacing w:val="1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qFormat w:val="1"/>
    <w:pPr>
      <w:keepNext w:val="1"/>
      <w:keepLines w:val="1"/>
      <w:numPr>
        <w:ilvl w:val="1"/>
        <w:numId w:val="1"/>
      </w:numPr>
      <w:spacing w:after="120" w:before="360"/>
      <w:contextualSpacing w:val="1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qFormat w:val="1"/>
    <w:pPr>
      <w:keepNext w:val="1"/>
      <w:keepLines w:val="1"/>
      <w:numPr>
        <w:ilvl w:val="2"/>
        <w:numId w:val="1"/>
      </w:numPr>
      <w:spacing w:after="80" w:before="320"/>
      <w:contextualSpacing w:val="1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qFormat w:val="1"/>
    <w:pPr>
      <w:keepNext w:val="1"/>
      <w:keepLines w:val="1"/>
      <w:numPr>
        <w:ilvl w:val="3"/>
        <w:numId w:val="1"/>
      </w:numPr>
      <w:spacing w:after="80" w:before="280"/>
      <w:contextualSpacing w:val="1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 w:val="1"/>
    <w:pPr>
      <w:keepNext w:val="1"/>
      <w:keepLines w:val="1"/>
      <w:numPr>
        <w:ilvl w:val="4"/>
        <w:numId w:val="1"/>
      </w:numPr>
      <w:spacing w:after="80" w:before="240"/>
      <w:contextualSpacing w:val="1"/>
      <w:outlineLvl w:val="4"/>
    </w:pPr>
    <w:rPr>
      <w:color w:val="666666"/>
    </w:rPr>
  </w:style>
  <w:style w:type="paragraph" w:styleId="Heading6">
    <w:name w:val="Heading 6"/>
    <w:basedOn w:val="Normal1"/>
    <w:next w:val="Normal1"/>
    <w:qFormat w:val="1"/>
    <w:pPr>
      <w:keepNext w:val="1"/>
      <w:keepLines w:val="1"/>
      <w:numPr>
        <w:ilvl w:val="5"/>
        <w:numId w:val="1"/>
      </w:numPr>
      <w:spacing w:after="80" w:before="240"/>
      <w:contextualSpacing w:val="1"/>
      <w:outlineLvl w:val="5"/>
    </w:pPr>
    <w:rPr>
      <w:i w:val="1"/>
      <w:color w:val="666666"/>
    </w:rPr>
  </w:style>
  <w:style w:type="character" w:styleId="WW8Num1z0">
    <w:name w:val="WW8Num1z0"/>
    <w:qFormat w:val="1"/>
    <w:rPr>
      <w:rFonts w:cs="Arial"/>
      <w:b w:val="1"/>
      <w:bCs w:val="1"/>
      <w:color w:val="000000"/>
      <w:sz w:val="24"/>
      <w:szCs w:val="24"/>
      <w:lang w:val="pt-BR"/>
    </w:rPr>
  </w:style>
  <w:style w:type="character" w:styleId="WW8Num1z1">
    <w:name w:val="WW8Num1z1"/>
    <w:qFormat w:val="1"/>
    <w:rPr>
      <w:color w:val="000000"/>
      <w:sz w:val="22"/>
      <w:szCs w:val="22"/>
    </w:rPr>
  </w:style>
  <w:style w:type="character" w:styleId="WW8Num1z2">
    <w:name w:val="WW8Num1z2"/>
    <w:qFormat w:val="1"/>
    <w:rPr/>
  </w:style>
  <w:style w:type="character" w:styleId="Fontepargpadro">
    <w:name w:val="Fonte parág. padrão"/>
    <w:qFormat w:val="1"/>
    <w:rPr/>
  </w:style>
  <w:style w:type="character" w:styleId="StrongEmphasis">
    <w:name w:val="Strong Emphasis"/>
    <w:qFormat w:val="1"/>
    <w:rPr>
      <w:b w:val="1"/>
      <w:bCs w:val="1"/>
    </w:rPr>
  </w:style>
  <w:style w:type="character" w:styleId="Refdecomentrio">
    <w:name w:val="Ref. de comentário"/>
    <w:qFormat w:val="1"/>
    <w:rPr>
      <w:sz w:val="16"/>
      <w:szCs w:val="16"/>
    </w:rPr>
  </w:style>
  <w:style w:type="character" w:styleId="VisitedInternetLink">
    <w:name w:val="Visited Internet Link"/>
    <w:rPr>
      <w:color w:val="800080"/>
      <w:u w:val="single"/>
    </w:rPr>
  </w:style>
  <w:style w:type="character" w:styleId="FootnoteCharacters">
    <w:name w:val="Footnote Characters"/>
    <w:qFormat w:val="1"/>
    <w:rPr>
      <w:vertAlign w:val="superscript"/>
    </w:rPr>
  </w:style>
  <w:style w:type="character" w:styleId="InternetLink">
    <w:name w:val="Internet Link"/>
    <w:rPr>
      <w:color w:val="0000ff"/>
      <w:u w:val="single"/>
    </w:rPr>
  </w:style>
  <w:style w:type="character" w:styleId="TextodecomentrioChar">
    <w:name w:val="Texto de comentário Char"/>
    <w:qFormat w:val="1"/>
    <w:rPr>
      <w:color w:val="000000"/>
    </w:rPr>
  </w:style>
  <w:style w:type="character" w:styleId="AssuntodocomentrioChar">
    <w:name w:val="Assunto do comentário Char"/>
    <w:qFormat w:val="1"/>
    <w:rPr>
      <w:b w:val="1"/>
      <w:bCs w:val="1"/>
      <w:color w:val="000000"/>
    </w:rPr>
  </w:style>
  <w:style w:type="character" w:styleId="TextodebaloChar">
    <w:name w:val="Texto de balão Char"/>
    <w:qFormat w:val="1"/>
    <w:rPr>
      <w:rFonts w:ascii="Tahoma" w:cs="Tahoma" w:hAnsi="Tahoma"/>
      <w:sz w:val="16"/>
      <w:szCs w:val="16"/>
    </w:rPr>
  </w:style>
  <w:style w:type="character" w:styleId="TextodenotaderodapChar">
    <w:name w:val="Texto de nota de rodapé Char"/>
    <w:qFormat w:val="1"/>
    <w:rPr>
      <w:color w:val="000000"/>
    </w:rPr>
  </w:style>
  <w:style w:type="character" w:styleId="Estilo3Char">
    <w:name w:val="Estilo3 Char"/>
    <w:qFormat w:val="1"/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MenoPendente">
    <w:name w:val="Menção Pendente"/>
    <w:qFormat w:val="1"/>
    <w:rPr>
      <w:color w:val="605e5c"/>
      <w:shd w:fill="e1dfdd" w:val="clear"/>
    </w:rPr>
  </w:style>
  <w:style w:type="character" w:styleId="CitaoChar">
    <w:name w:val="Citação Char"/>
    <w:qFormat w:val="1"/>
    <w:rPr>
      <w:rFonts w:cs="Times New Roman" w:eastAsia="Calibri"/>
      <w:i w:val="1"/>
      <w:iCs w:val="1"/>
      <w:color w:val="000000"/>
      <w:szCs w:val="24"/>
      <w:shd w:fill="ffffcc" w:val="clear"/>
      <w:lang w:eastAsia="en-US"/>
    </w:rPr>
  </w:style>
  <w:style w:type="character" w:styleId="Appleconvertedspace">
    <w:name w:val="apple-converted-space"/>
    <w:basedOn w:val="Fontepargpadro"/>
    <w:qFormat w:val="1"/>
    <w:rPr/>
  </w:style>
  <w:style w:type="character" w:styleId="Normalchar1">
    <w:name w:val="normal__char1"/>
    <w:qFormat w:val="1"/>
    <w:rPr>
      <w:rFonts w:ascii="Arial" w:cs="Arial" w:hAnsi="Arial"/>
      <w:strike w:val="0"/>
      <w:dstrike w:val="0"/>
      <w:sz w:val="24"/>
      <w:szCs w:val="24"/>
      <w:u w:val="none"/>
    </w:rPr>
  </w:style>
  <w:style w:type="paragraph" w:styleId="Heading">
    <w:name w:val="Heading"/>
    <w:basedOn w:val="Normal1"/>
    <w:next w:val="Normal1"/>
    <w:qFormat w:val="1"/>
    <w:pPr>
      <w:keepNext w:val="1"/>
      <w:keepLines w:val="1"/>
      <w:spacing w:after="60" w:before="0"/>
      <w:contextualSpacing w:val="1"/>
    </w:pPr>
    <w:rPr>
      <w:sz w:val="52"/>
      <w:szCs w:val="52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Normal1">
    <w:name w:val="LO-normal1"/>
    <w:qFormat w:val="1"/>
    <w:pPr>
      <w:widowControl w:val="1"/>
      <w:spacing w:line="276" w:lineRule="auto"/>
    </w:pPr>
    <w:rPr>
      <w:rFonts w:ascii="Arial" w:cs="Arial" w:eastAsia="Arial" w:hAnsi="Arial"/>
      <w:color w:val="000000"/>
      <w:sz w:val="22"/>
      <w:szCs w:val="22"/>
      <w:lang w:bidi="ar-SA" w:eastAsia="pt-BR" w:val="pt-BR"/>
    </w:rPr>
  </w:style>
  <w:style w:type="paragraph" w:styleId="Textodecomentrio">
    <w:name w:val="Texto de comentário"/>
    <w:basedOn w:val="Normal"/>
    <w:qFormat w:val="1"/>
    <w:pPr/>
    <w:rPr>
      <w:sz w:val="20"/>
      <w:szCs w:val="20"/>
    </w:rPr>
  </w:style>
  <w:style w:type="paragraph" w:styleId="NormalWeb">
    <w:name w:val="Normal (Web)"/>
    <w:basedOn w:val="Normal"/>
    <w:qFormat w:val="1"/>
    <w:pPr>
      <w:spacing w:after="100" w:before="100" w:line="240" w:lineRule="auto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paragraph" w:styleId="Header">
    <w:name w:val="Header"/>
    <w:basedOn w:val="Normal"/>
    <w:pPr>
      <w:tabs>
        <w:tab w:val="center" w:leader="none" w:pos="4252"/>
        <w:tab w:val="right" w:leader="none" w:pos="8504"/>
      </w:tabs>
    </w:pPr>
    <w:rPr/>
  </w:style>
  <w:style w:type="paragraph" w:styleId="Assuntodocomentrio">
    <w:name w:val="Assunto do comentário"/>
    <w:basedOn w:val="Textodecomentrio"/>
    <w:next w:val="Textodecomentrio"/>
    <w:qFormat w:val="1"/>
    <w:pPr/>
    <w:rPr>
      <w:b w:val="1"/>
      <w:bCs w:val="1"/>
    </w:rPr>
  </w:style>
  <w:style w:type="paragraph" w:styleId="Footer">
    <w:name w:val="Footer"/>
    <w:basedOn w:val="Normal"/>
    <w:pPr>
      <w:tabs>
        <w:tab w:val="center" w:leader="none" w:pos="4252"/>
        <w:tab w:val="right" w:leader="none" w:pos="8504"/>
      </w:tabs>
    </w:pPr>
    <w:rPr/>
  </w:style>
  <w:style w:type="paragraph" w:styleId="Textodebalo">
    <w:name w:val="Texto de balão"/>
    <w:basedOn w:val="Normal"/>
    <w:qFormat w:val="1"/>
    <w:pPr>
      <w:spacing w:line="240" w:lineRule="auto"/>
    </w:pPr>
    <w:rPr>
      <w:rFonts w:ascii="Tahoma" w:cs="Tahoma" w:hAnsi="Tahoma"/>
      <w:sz w:val="16"/>
      <w:szCs w:val="16"/>
    </w:rPr>
  </w:style>
  <w:style w:type="paragraph" w:styleId="Subtitle">
    <w:name w:val="Subtitle"/>
    <w:basedOn w:val="Normal1"/>
    <w:next w:val="Normal1"/>
    <w:qFormat w:val="1"/>
    <w:pPr>
      <w:keepNext w:val="1"/>
      <w:keepLines w:val="1"/>
      <w:spacing w:after="320" w:before="0"/>
      <w:contextualSpacing w:val="1"/>
    </w:pPr>
    <w:rPr>
      <w:color w:val="666666"/>
      <w:sz w:val="30"/>
      <w:szCs w:val="30"/>
    </w:rPr>
  </w:style>
  <w:style w:type="paragraph" w:styleId="Footnote">
    <w:name w:val="Footnote Text"/>
    <w:basedOn w:val="Normal"/>
    <w:pPr/>
    <w:rPr>
      <w:sz w:val="20"/>
      <w:szCs w:val="20"/>
    </w:rPr>
  </w:style>
  <w:style w:type="paragraph" w:styleId="Estilo1">
    <w:name w:val="Estilo1"/>
    <w:basedOn w:val="Normal"/>
    <w:qFormat w:val="1"/>
    <w:pPr>
      <w:keepLines w:val="1"/>
      <w:spacing w:after="0" w:before="120" w:line="240" w:lineRule="auto"/>
      <w:ind w:left="2160" w:firstLine="1800"/>
      <w:jc w:val="both"/>
    </w:pPr>
    <w:rPr>
      <w:rFonts w:ascii="Times New Roman" w:cs="Times New Roman" w:eastAsia="Times New Roman" w:hAnsi="Times New Roman"/>
      <w:color w:val="000000"/>
      <w:sz w:val="24"/>
      <w:szCs w:val="20"/>
      <w:lang w:eastAsia="ar-SA"/>
    </w:rPr>
  </w:style>
  <w:style w:type="paragraph" w:styleId="Estilo3">
    <w:name w:val="Estilo3"/>
    <w:basedOn w:val="Estilo1"/>
    <w:qFormat w:val="1"/>
    <w:pPr>
      <w:ind w:left="1080" w:hanging="720"/>
    </w:pPr>
    <w:rPr>
      <w:szCs w:val="24"/>
    </w:rPr>
  </w:style>
  <w:style w:type="paragraph" w:styleId="Citao">
    <w:name w:val="Citação"/>
    <w:basedOn w:val="Normal"/>
    <w:next w:val="Normal"/>
    <w:qFormat w:val="1"/>
    <w:pPr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hd w:fill="ffffcc" w:val="clear"/>
      <w:spacing w:after="0" w:before="120" w:line="240" w:lineRule="auto"/>
      <w:jc w:val="both"/>
    </w:pPr>
    <w:rPr>
      <w:rFonts w:cs="Times New Roman" w:eastAsia="Calibri"/>
      <w:i w:val="1"/>
      <w:iCs w:val="1"/>
      <w:sz w:val="20"/>
      <w:szCs w:val="24"/>
      <w:lang w:eastAsia="en-US"/>
    </w:rPr>
  </w:style>
  <w:style w:type="paragraph" w:styleId="LOnormal">
    <w:name w:val="LO-normal"/>
    <w:qFormat w:val="1"/>
    <w:pPr>
      <w:widowControl w:val="1"/>
      <w:suppressAutoHyphens w:val="1"/>
      <w:spacing w:line="276" w:lineRule="auto"/>
    </w:pPr>
    <w:rPr>
      <w:rFonts w:ascii="Arial" w:cs="Arial" w:eastAsia="Arial" w:hAnsi="Arial"/>
      <w:color w:val="000000"/>
      <w:sz w:val="22"/>
      <w:szCs w:val="22"/>
      <w:lang w:bidi="ar-SA" w:eastAsia="zh-CN" w:val="pt-BR"/>
    </w:rPr>
  </w:style>
  <w:style w:type="paragraph" w:styleId="Douparagraph">
    <w:name w:val="dou-paragraph"/>
    <w:basedOn w:val="Normal"/>
    <w:qFormat w:val="1"/>
    <w:pPr>
      <w:spacing w:after="100" w:before="100" w:line="240" w:lineRule="auto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paragraph" w:styleId="Normal11">
    <w:name w:val="Normal1"/>
    <w:qFormat w:val="1"/>
    <w:pPr>
      <w:widowControl w:val="1"/>
      <w:suppressAutoHyphens w:val="1"/>
    </w:pPr>
    <w:rPr>
      <w:rFonts w:ascii="Arial" w:cs="Arial" w:eastAsia="Arial" w:hAnsi="Arial"/>
      <w:color w:val="000000"/>
      <w:sz w:val="22"/>
      <w:szCs w:val="22"/>
      <w:lang w:bidi="ar-SA" w:eastAsia="pt-BR" w:val="pt-BR"/>
    </w:rPr>
  </w:style>
  <w:style w:type="paragraph" w:styleId="Default">
    <w:name w:val="Default"/>
    <w:qFormat w:val="1"/>
    <w:pPr>
      <w:widowControl w:val="1"/>
      <w:autoSpaceDE w:val="0"/>
    </w:pPr>
    <w:rPr>
      <w:rFonts w:ascii="Calibri" w:cs="Calibri" w:eastAsia="Arial" w:hAnsi="Calibri"/>
      <w:color w:val="000000"/>
      <w:sz w:val="24"/>
      <w:szCs w:val="24"/>
      <w:lang w:bidi="ar-SA" w:eastAsia="pt-BR" w:val="pt-BR"/>
    </w:rPr>
  </w:style>
  <w:style w:type="paragraph" w:styleId="Nivel1">
    <w:name w:val="Nivel1"/>
    <w:basedOn w:val="Heading1"/>
    <w:next w:val="Normal"/>
    <w:qFormat w:val="1"/>
    <w:pPr>
      <w:numPr>
        <w:ilvl w:val="0"/>
        <w:numId w:val="0"/>
      </w:numPr>
      <w:spacing w:after="120" w:before="480"/>
      <w:ind w:left="360" w:hanging="360"/>
      <w:contextualSpacing w:val="1"/>
      <w:jc w:val="both"/>
    </w:pPr>
    <w:rPr>
      <w:rFonts w:cs="Times New Roman" w:eastAsia="Times New Roman"/>
      <w:b w:val="1"/>
      <w:sz w:val="28"/>
      <w:szCs w:val="28"/>
    </w:rPr>
  </w:style>
  <w:style w:type="paragraph" w:styleId="Padro">
    <w:name w:val="Padrão"/>
    <w:qFormat w:val="1"/>
    <w:pPr>
      <w:widowControl w:val="1"/>
      <w:tabs>
        <w:tab w:val="left" w:leader="none" w:pos="708"/>
      </w:tabs>
      <w:suppressAutoHyphens w:val="1"/>
      <w:spacing w:after="160" w:before="0" w:line="256" w:lineRule="auto"/>
    </w:pPr>
    <w:rPr>
      <w:rFonts w:ascii="Times New Roman" w:cs="Mangal;Courier New" w:eastAsia="SimSun" w:hAnsi="Times New Roman"/>
      <w:color w:val="auto"/>
      <w:sz w:val="24"/>
      <w:szCs w:val="24"/>
      <w:lang w:bidi="hi-IN" w:eastAsia="zh-CN" w:val="pt-BR"/>
    </w:rPr>
  </w:style>
  <w:style w:type="paragraph" w:styleId="PargrafodaLista">
    <w:name w:val="Parágrafo da Lista"/>
    <w:basedOn w:val="Normal"/>
    <w:qFormat w:val="1"/>
    <w:pPr>
      <w:keepLines w:val="1"/>
      <w:numPr>
        <w:ilvl w:val="0"/>
        <w:numId w:val="0"/>
      </w:numPr>
      <w:spacing w:after="0" w:before="120" w:line="240" w:lineRule="auto"/>
      <w:ind w:left="720" w:firstLine="1080"/>
      <w:contextualSpacing w:val="1"/>
      <w:jc w:val="both"/>
    </w:pPr>
    <w:rPr>
      <w:rFonts w:ascii="Times New Roman" w:cs="Times New Roman" w:eastAsia="Times New Roman" w:hAnsi="Times New Roman"/>
      <w:color w:val="000000"/>
      <w:sz w:val="24"/>
      <w:szCs w:val="20"/>
      <w:lang w:eastAsia="en-US"/>
    </w:rPr>
  </w:style>
  <w:style w:type="paragraph" w:styleId="Standard">
    <w:name w:val="Standard"/>
    <w:qFormat w:val="1"/>
    <w:pPr>
      <w:widowControl w:val="1"/>
      <w:suppressAutoHyphens w:val="1"/>
      <w:spacing w:after="200" w:before="0" w:line="276" w:lineRule="auto"/>
      <w:textAlignment w:val="baseline"/>
    </w:pPr>
    <w:rPr>
      <w:rFonts w:ascii="Calibri" w:cs="Times New Roman" w:eastAsia="Times New Roman" w:hAnsi="Calibri"/>
      <w:color w:val="00000a"/>
      <w:kern w:val="2"/>
      <w:sz w:val="22"/>
      <w:szCs w:val="22"/>
      <w:lang w:bidi="ar-SA" w:eastAsia="zh-CN" w:val="pt-BR"/>
    </w:rPr>
  </w:style>
  <w:style w:type="paragraph" w:styleId="Textbody1">
    <w:name w:val="textbody"/>
    <w:basedOn w:val="Normal"/>
    <w:qFormat w:val="1"/>
    <w:pPr>
      <w:spacing w:after="100" w:before="100" w:line="240" w:lineRule="auto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numbering" w:styleId="WW8Num1">
    <w:name w:val="WW8Num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hyperlink" Target="https://www.gov.br/compras/pt-br/acesso-a-informacao/legislacao/instrucoes-normativas/instrucao-normativa-no-49-de-30-de-junho-de-2020" TargetMode="External"/><Relationship Id="rId10" Type="http://schemas.openxmlformats.org/officeDocument/2006/relationships/hyperlink" Target="https://www.gov.br/compras/pt-br/acesso-a-informacao/legislacao/instrucoes-normativas/instrucao-normativa-no-5-de-26-de-maio-de-2017-atualizada" TargetMode="External"/><Relationship Id="rId13" Type="http://schemas.openxmlformats.org/officeDocument/2006/relationships/hyperlink" Target="https://www.gov.br/compras/pt-br/acesso-a-informacao/legislacao/instrucoes-normativas/instrucao-normativa-seges-no-58-de-8-de-agosto-de-2022" TargetMode="External"/><Relationship Id="rId12" Type="http://schemas.openxmlformats.org/officeDocument/2006/relationships/hyperlink" Target="https://www.gov.br/compras/pt-br/acesso-a-informacao/legislacao/instrucoes-normativas/instrucao-normativa-seges-no-58-de-8-de-agosto-de-2022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legislacao.planalto.gov.br/legisla/legislacao.nsf/Viw_Identificacao/DEC%205.450-2005?OpenDocument" TargetMode="External"/><Relationship Id="rId15" Type="http://schemas.openxmlformats.org/officeDocument/2006/relationships/hyperlink" Target="http://www.tcu.gov.br/arquivosrca/001.003.009.030.htm#Fund741-2" TargetMode="External"/><Relationship Id="rId14" Type="http://schemas.openxmlformats.org/officeDocument/2006/relationships/hyperlink" Target="http://www.tcu.gov.br/arquivosrca/001.003.009.030.htm#Fund741-1" TargetMode="External"/><Relationship Id="rId17" Type="http://schemas.openxmlformats.org/officeDocument/2006/relationships/hyperlink" Target="http://www.tcu.gov.br/arquivosrca/001.003.009.030.htm#Fund741-4" TargetMode="External"/><Relationship Id="rId16" Type="http://schemas.openxmlformats.org/officeDocument/2006/relationships/hyperlink" Target="http://www.tcu.gov.br/arquivosrca/001.003.009.030.htm#Fund741-3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gov.br/agu/pt-br/composicao/cgu/cgu/guias/guia-de-contratacoes-sustentaveis-set-2023.pdf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://www.tcu.gov.br/arquivosrca/001.003.009.030.htm#Fund741-5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www.planalto.gov.br/ccivil_03/_ato2019-2022/2021/lei/l1413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gTtD2/sxekF2uDhxkXREbVRlVA==">CgMxLjAaDQoBMBIICgYIBTICCAEaDQoBMRIICgYIBTICCAEaDQoBMhIICgYIBTICCAEaDQoBMxIICgYIBTICCAEyDWguNjMzanJra2J2OWMyDmguaDY4ZmN5eDBtd3B1OAByITEzNnpLc3dWS0ltNm1maHVMMFl5OEh3ZGpBSENFUE1ZRw==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2020-10-09T07:25:00Z</dcterms:created>
  <dc:creator>Joacil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96BBA60F837743458A837DD2D44CB967</vt:lpwstr>
  </property>
  <property fmtid="{D5CDD505-2E9C-101B-9397-08002B2CF9AE}" pid="3" name="KSOProductBuildVer">
    <vt:lpwstr>1046-11.2.0.11254</vt:lpwstr>
  </property>
</Properties>
</file>