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TRANSFERÊNCIA DE CALOR EM REGIME BIFÁSICO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Equilíbrio interfacial e nucleação de bolhas.</w:t>
              <w:br/>
              <w:t>2.   Transições de regime em transferência de calor por ebulição.</w:t>
              <w:br/>
              <w:t>3.   Transferência de calor em condições acidentais.</w:t>
              <w:br/>
              <w:t>4.   Códigos e modelos para cálculo de transferência de calor bifásica.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Rohsenow, W.M.; Choi, H., Heat, Mass and Momentum Transfer. Prentice-Hall, 1961.</w:t>
              <w:br/>
              <w:br/>
              <w:t>2.</w:t>
              <w:tab/>
              <w:t>Wallis, G. B., One Dimensional Two Phase Flow.</w:t>
              <w:br/>
              <w:br/>
              <w:t>3.</w:t>
              <w:tab/>
              <w:t>Collier, J. G., Convective Boiling and Condensation.</w:t>
              <w:br/>
              <w:br/>
              <w:t>4.</w:t>
              <w:tab/>
              <w:t>Rohsenow, W. M., Handbook of Heat Transfer.</w:t>
              <w:br/>
              <w:br/>
              <w:t>5.</w:t>
              <w:tab/>
              <w:t>Çengel, Y.A.; Ghajar, A.J. Heat and mass transfer. Fundamentals and Applications. 4a. Ed.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