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ESCOAMENTO BIFÁSICO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Padrões do escoamento bifásico.</w:t>
              <w:br/>
              <w:br/>
              <w:t>2.   Modelagem matemática do escoamento bifásico, formulações da equações de conservação</w:t>
              <w:br/>
              <w:br/>
              <w:t>3.   Perda de pressão no escoamento bifásico.</w:t>
              <w:br/>
              <w:br/>
              <w:t>4.   Fenômenos de instabilidade do escoamento bifásico.</w:t>
              <w:br/>
              <w:br/>
              <w:t>5.   Escoamento bifásico crítico.</w:t>
              <w:br/>
              <w:br/>
              <w:t>6.   Projeto térmico do núcleo em regime bifásico; fatores de canal quente; efeitos do mixing e do crossflow.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Wallis, G. B., One Dimensional Two Phase Flow.</w:t>
              <w:br/>
              <w:br/>
              <w:t>2.   Lahey Jr. , R. T., Moody, F. J., The Thermal-Hydraulics of a Boiling Water Nuclear Reactor.</w:t>
              <w:br/>
              <w:br/>
              <w:t xml:space="preserve">3.   Delhaye, J. M., Giot M. e Riethmuller, M. L., Termohydraulics of Two-Phase Systems </w:t>
              <w:br/>
              <w:t xml:space="preserve">      for Industrial  Design and Nuclear Engineering.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