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A" w:rsidRPr="00C7425E" w:rsidRDefault="00A856D8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>PROCESSO SELETIVO PARA ADMISSÃO – ANO LETIVO 2017 – AO CORPO DISCENTE AO PROGRAMA DE PÓS-GRADUAÇÃO EM BIOLOGIA DE FUNGOS, CURSO DE MESTRADO</w:t>
      </w:r>
      <w:r w:rsidR="00952313">
        <w:rPr>
          <w:rFonts w:ascii="Times New Roman" w:hAnsi="Times New Roman" w:cs="Times New Roman"/>
          <w:sz w:val="24"/>
          <w:szCs w:val="24"/>
        </w:rPr>
        <w:t xml:space="preserve"> - </w:t>
      </w:r>
      <w:r w:rsidRPr="00C7425E">
        <w:rPr>
          <w:rFonts w:ascii="Times New Roman" w:hAnsi="Times New Roman" w:cs="Times New Roman"/>
          <w:sz w:val="24"/>
          <w:szCs w:val="24"/>
        </w:rPr>
        <w:t>PROVA DE CONHECIMENTOS DE MICOLOGIA</w:t>
      </w:r>
      <w:r w:rsidR="00952313">
        <w:rPr>
          <w:rFonts w:ascii="Times New Roman" w:hAnsi="Times New Roman" w:cs="Times New Roman"/>
          <w:sz w:val="24"/>
          <w:szCs w:val="24"/>
        </w:rPr>
        <w:t xml:space="preserve"> - ESPELHO</w:t>
      </w:r>
    </w:p>
    <w:p w:rsidR="00A856D8" w:rsidRPr="00C7425E" w:rsidRDefault="00A856D8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6D8" w:rsidRPr="000956DC" w:rsidRDefault="00A856D8" w:rsidP="005B4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6874BE"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</w:t>
      </w:r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interações entre fungos e outros organismos descritas abaixo, defina, explique e cite exemplos de grupos de fungos (filos, classes ou famílias) de organismos que participam </w:t>
      </w:r>
      <w:r w:rsidRPr="00095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dessa</w:t>
      </w:r>
      <w:r w:rsidR="006874BE" w:rsidRPr="00095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095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associaç</w:t>
      </w:r>
      <w:r w:rsidR="006874BE" w:rsidRPr="00095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ões</w:t>
      </w:r>
      <w:r w:rsidR="005B49A2" w:rsidRPr="00095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 pontos).</w:t>
      </w:r>
    </w:p>
    <w:p w:rsidR="00A856D8" w:rsidRPr="00C7425E" w:rsidRDefault="00A856D8" w:rsidP="005B4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6D8" w:rsidRPr="00C7425E" w:rsidRDefault="00A856D8" w:rsidP="005B49A2">
      <w:pPr>
        <w:pStyle w:val="PargrafodaLista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Fungos </w:t>
      </w:r>
      <w:proofErr w:type="spellStart"/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endofíticos</w:t>
      </w:r>
      <w:proofErr w:type="spellEnd"/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São fungos que sobrevivem no interior dos tecidos das plantas sem contudo causar prejuízos a essa pelo menos em uma parte do seu ciclo de vida. Esses fungos apresentam uma gama de funções ecológicas que vão desde a proteção das plantas contra pragas, doenças até iniciar os processos de decomposição de restos vegetais na natureza. Fungos que realizam esse tipo de associação são em sua maioria dos </w:t>
      </w:r>
      <w:proofErr w:type="spellStart"/>
      <w:r w:rsidR="00F3160D">
        <w:rPr>
          <w:rFonts w:ascii="Times New Roman" w:eastAsia="Times New Roman" w:hAnsi="Times New Roman" w:cs="Times New Roman"/>
          <w:color w:val="000000"/>
          <w:sz w:val="24"/>
          <w:szCs w:val="24"/>
        </w:rPr>
        <w:t>sub-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filos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Ascomycot</w:t>
      </w:r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Basidomycot</w:t>
      </w:r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, sendo o primeiro mais abundantemente encontrado.</w:t>
      </w:r>
    </w:p>
    <w:p w:rsidR="00A856D8" w:rsidRPr="00C7425E" w:rsidRDefault="00A856D8" w:rsidP="005B49A2">
      <w:pPr>
        <w:pStyle w:val="PargrafodaLista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Fungos </w:t>
      </w:r>
      <w:proofErr w:type="spellStart"/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fitopatogênicos</w:t>
      </w:r>
      <w:proofErr w:type="spellEnd"/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 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os fungos parasitas que se nutrem dos tecidos e substancias produzidas pelas plantas resultando em uma doença. Estes representam o principal grupo de organismos causadores de doenças as plantas e que podem causar desde um leve amarelecimento nos tecidos até a deterioração completa dor órgãos infectados e morte das plantas. Vários grupos de fungos apresentam representantes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fitopatogênicos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destacam-se os fungos dos </w:t>
      </w:r>
      <w:proofErr w:type="spellStart"/>
      <w:r w:rsidR="00F3160D">
        <w:rPr>
          <w:rFonts w:ascii="Times New Roman" w:eastAsia="Times New Roman" w:hAnsi="Times New Roman" w:cs="Times New Roman"/>
          <w:color w:val="000000"/>
          <w:sz w:val="24"/>
          <w:szCs w:val="24"/>
        </w:rPr>
        <w:t>sub-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filos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Ascomycot</w:t>
      </w:r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Basidiomycot</w:t>
      </w:r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frequência e os prejuízos que estes podem causar.</w:t>
      </w:r>
    </w:p>
    <w:p w:rsidR="00A856D8" w:rsidRPr="00C7425E" w:rsidRDefault="00A856D8" w:rsidP="005B49A2">
      <w:pPr>
        <w:pStyle w:val="PargrafodaLista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Micorrizas</w:t>
      </w:r>
      <w:proofErr w:type="spellEnd"/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 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fungos que realizam uma associação benéfica com raízes das plantas. As plantas fornecem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fotoassimilados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os fungos e os fungos absorvem água e minerais do solo (principalmente P) e fornecem às plantas. As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micorrizas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arbusculares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caracterizadas por formar estruturas chamadas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arbúsculos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interior das raízes das plantas, pertencem </w:t>
      </w:r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ordem </w:t>
      </w:r>
      <w:proofErr w:type="spellStart"/>
      <w:r w:rsidR="00E74BE5">
        <w:rPr>
          <w:rFonts w:ascii="Times New Roman" w:eastAsia="Times New Roman" w:hAnsi="Times New Roman" w:cs="Times New Roman"/>
          <w:color w:val="000000"/>
          <w:sz w:val="24"/>
          <w:szCs w:val="24"/>
        </w:rPr>
        <w:t>Glomales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Mas existem outros tipos de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micorrízas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ectomicorrizas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micorrizas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erícoides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orquidóides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monotropóides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incluem fungos dos </w:t>
      </w:r>
      <w:proofErr w:type="spellStart"/>
      <w:r w:rsidR="00F3160D">
        <w:rPr>
          <w:rFonts w:ascii="Times New Roman" w:eastAsia="Times New Roman" w:hAnsi="Times New Roman" w:cs="Times New Roman"/>
          <w:color w:val="000000"/>
          <w:sz w:val="24"/>
          <w:szCs w:val="24"/>
        </w:rPr>
        <w:t>sub-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filos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Ascomycot</w:t>
      </w:r>
      <w:r w:rsidR="00397C3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Basidiomycot</w:t>
      </w:r>
      <w:r w:rsidR="00397C3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56D8" w:rsidRDefault="00A856D8" w:rsidP="005B49A2">
      <w:pPr>
        <w:pStyle w:val="PargrafodaLista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Liquens: 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Fungos que desenvolveram um modo de nutrição alternativo, através do qual os nutrientes (açúcares) são fornecidos diretamente por um organismo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fotossintetizador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fotobionte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(alga ou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cianobactéria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em troca os fungos (micobionte) fornecem proteção para a alga ou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cianobactéria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absorvem minerais do substrato ou da chuva e colonizam os mais diferentes tipos de substratos que muitas vezes seriam inóspitos para outros organismos. Grande parte dos fungos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liquenizados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pertencem ao </w:t>
      </w:r>
      <w:proofErr w:type="spellStart"/>
      <w:r w:rsidR="00F3160D">
        <w:rPr>
          <w:rFonts w:ascii="Times New Roman" w:eastAsia="Times New Roman" w:hAnsi="Times New Roman" w:cs="Times New Roman"/>
          <w:color w:val="000000"/>
          <w:sz w:val="24"/>
          <w:szCs w:val="24"/>
        </w:rPr>
        <w:t>sub-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filo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Ascomycot</w:t>
      </w:r>
      <w:r w:rsidR="00397C3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 uma minoria pertencente ao </w:t>
      </w:r>
      <w:proofErr w:type="spellStart"/>
      <w:r w:rsidR="00F3160D">
        <w:rPr>
          <w:rFonts w:ascii="Times New Roman" w:eastAsia="Times New Roman" w:hAnsi="Times New Roman" w:cs="Times New Roman"/>
          <w:color w:val="000000"/>
          <w:sz w:val="24"/>
          <w:szCs w:val="24"/>
        </w:rPr>
        <w:t>sub-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filo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Basidiomycot</w:t>
      </w:r>
      <w:r w:rsidR="00397C3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313" w:rsidRPr="00C7425E" w:rsidRDefault="00952313" w:rsidP="00952313">
      <w:pPr>
        <w:pStyle w:val="PargrafodaLista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6D8" w:rsidRPr="000956DC" w:rsidRDefault="00A856D8" w:rsidP="005B4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6DC">
        <w:rPr>
          <w:rFonts w:ascii="Times New Roman" w:hAnsi="Times New Roman" w:cs="Times New Roman"/>
          <w:sz w:val="24"/>
          <w:szCs w:val="24"/>
        </w:rPr>
        <w:lastRenderedPageBreak/>
        <w:t>Defina</w:t>
      </w:r>
      <w:r w:rsidR="00A356BB" w:rsidRPr="000956DC">
        <w:rPr>
          <w:rFonts w:ascii="Times New Roman" w:hAnsi="Times New Roman" w:cs="Times New Roman"/>
          <w:sz w:val="24"/>
          <w:szCs w:val="24"/>
        </w:rPr>
        <w:t xml:space="preserve"> as estruturas abaixo</w:t>
      </w:r>
      <w:r w:rsidR="005B49A2" w:rsidRPr="000956DC">
        <w:rPr>
          <w:rFonts w:ascii="Times New Roman" w:hAnsi="Times New Roman" w:cs="Times New Roman"/>
          <w:sz w:val="24"/>
          <w:szCs w:val="24"/>
        </w:rPr>
        <w:t xml:space="preserve"> (1 ponto)</w:t>
      </w:r>
      <w:r w:rsidRPr="000956DC">
        <w:rPr>
          <w:rFonts w:ascii="Times New Roman" w:hAnsi="Times New Roman" w:cs="Times New Roman"/>
          <w:sz w:val="24"/>
          <w:szCs w:val="24"/>
        </w:rPr>
        <w:t>:</w:t>
      </w:r>
    </w:p>
    <w:p w:rsidR="00952313" w:rsidRPr="00C7425E" w:rsidRDefault="00952313" w:rsidP="005B49A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Apotécio: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ascoma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(ou corpo de frutificação de fungos do Subfilo </w:t>
      </w:r>
      <w:proofErr w:type="spellStart"/>
      <w:r>
        <w:rPr>
          <w:rFonts w:ascii="Times New Roman" w:hAnsi="Times New Roman" w:cs="Times New Roman"/>
          <w:sz w:val="24"/>
          <w:szCs w:val="24"/>
        </w:rPr>
        <w:t>Ascomycotina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7425E">
        <w:rPr>
          <w:rFonts w:ascii="Times New Roman" w:hAnsi="Times New Roman" w:cs="Times New Roman"/>
          <w:sz w:val="24"/>
          <w:szCs w:val="24"/>
        </w:rPr>
        <w:t xml:space="preserve"> com perídio verdadeiro e himênio exposto em todo ou parte do seu desenvolvimento.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sz w:val="24"/>
          <w:szCs w:val="24"/>
        </w:rPr>
        <w:t>Basidiosporo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esporo sexuado </w:t>
      </w:r>
      <w:r w:rsidRPr="00A93736">
        <w:rPr>
          <w:rFonts w:ascii="Times New Roman" w:hAnsi="Times New Roman" w:cs="Times New Roman"/>
          <w:sz w:val="24"/>
          <w:szCs w:val="24"/>
        </w:rPr>
        <w:t xml:space="preserve">de fungos do Subfilo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Basidiomycot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742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</w:p>
    <w:p w:rsidR="00C94E19" w:rsidRPr="00A93736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>Clamidosporo</w:t>
      </w:r>
      <w:proofErr w:type="spellEnd"/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esporo assexuado de resistência, com parede espessada, rico em nutrientes e substâncias de reserva intercalares no micélio somático ou em células de esporos clonais (conídios) de certos fungos. </w:t>
      </w:r>
    </w:p>
    <w:p w:rsidR="00C94E19" w:rsidRPr="00A93736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Estolões: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diferenciadas, associadas à disseminação d</w:t>
      </w:r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fungo</w:t>
      </w:r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substrato. Une um conjunto de espor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óforos </w:t>
      </w:r>
      <w:r w:rsidRPr="00A93736">
        <w:rPr>
          <w:rFonts w:ascii="Times New Roman" w:eastAsia="Times New Roman" w:hAnsi="Times New Roman" w:cs="Times New Roman"/>
          <w:color w:val="000000"/>
          <w:sz w:val="24"/>
          <w:szCs w:val="24"/>
        </w:rPr>
        <w:t>a outro.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Formado por fungos do Filo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Zygomycota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Estroma: estrutura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pletenquimatosa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onde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ascomas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de alguns ascomicetos são formados.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Haustórios: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hifas modificadas, que penetram a célula de um hospedeiro, invaginando sua membrana plasmática para maximizar a 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absorção de nutrientes em fungos parasitas.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Picnídio: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conidioma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que encerra a formação de conídios à uma cavidade, normalmente ostiolada.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Pletênquima: pseudotecido formado pela fusão </w:t>
      </w:r>
      <w:r>
        <w:rPr>
          <w:rFonts w:ascii="Times New Roman" w:hAnsi="Times New Roman" w:cs="Times New Roman"/>
          <w:sz w:val="24"/>
          <w:szCs w:val="24"/>
        </w:rPr>
        <w:t xml:space="preserve">completa ou parcial </w:t>
      </w:r>
      <w:r w:rsidRPr="00C7425E">
        <w:rPr>
          <w:rFonts w:ascii="Times New Roman" w:hAnsi="Times New Roman" w:cs="Times New Roman"/>
          <w:sz w:val="24"/>
          <w:szCs w:val="24"/>
        </w:rPr>
        <w:t>de hifas de fungos superiores, podendo ou não manter sua individualidade.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Rizomorfa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pletênquimas somáticos formados por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feixes de hifas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paralelas,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semelhantes a raízes.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Auxiliam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translocação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água e de nutrientes, sobretudo em substratos de longa duração</w:t>
      </w: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E19" w:rsidRPr="00C7425E" w:rsidRDefault="00C94E19" w:rsidP="00C94E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Zoosporo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esporo flagelado formado por representantes de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Chytridiomycota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flagelos são sempre lisos e posteriores, e o </w:t>
      </w:r>
      <w:proofErr w:type="spellStart"/>
      <w:r>
        <w:rPr>
          <w:rFonts w:ascii="Times New Roman" w:hAnsi="Times New Roman" w:cs="Times New Roman"/>
          <w:sz w:val="24"/>
          <w:szCs w:val="24"/>
        </w:rPr>
        <w:t>zoosporo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ter origem sexuada ou assexuada.</w:t>
      </w:r>
    </w:p>
    <w:p w:rsidR="00952313" w:rsidRDefault="00952313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313" w:rsidRPr="00C7425E" w:rsidRDefault="00952313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5AB5" w:rsidRPr="000956DC" w:rsidRDefault="003C00FA" w:rsidP="005B4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Enzimas </w:t>
      </w:r>
      <w:proofErr w:type="spellStart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>fúngicas</w:t>
      </w:r>
      <w:proofErr w:type="spellEnd"/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apresentam várias utilidades para o ser humano. Cite exemplos de </w:t>
      </w:r>
      <w:r w:rsidRPr="0009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enzimas e de suas </w:t>
      </w:r>
      <w:r w:rsidR="00225AB5" w:rsidRPr="000956DC">
        <w:rPr>
          <w:rFonts w:ascii="Times New Roman" w:eastAsia="Times New Roman" w:hAnsi="Times New Roman" w:cs="Times New Roman"/>
          <w:color w:val="000000"/>
          <w:sz w:val="24"/>
          <w:szCs w:val="24"/>
        </w:rPr>
        <w:t>principais aplicações nas áreas abaixo</w:t>
      </w:r>
      <w:r w:rsidR="005B49A2" w:rsidRPr="00095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ponto)</w:t>
      </w:r>
      <w:r w:rsidR="00225AB5" w:rsidRPr="000956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1AEE" w:rsidRPr="00C7425E" w:rsidRDefault="00911AEE" w:rsidP="00911AE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313" w:rsidRPr="00952313" w:rsidRDefault="00911AEE" w:rsidP="00952313">
      <w:pPr>
        <w:pStyle w:val="PargrafodaLista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farmacêutica: remédios e vacinas mais eficazes com maior grau de pureza e a um custo menor; diagnóstico, prevenção e tratamento de doenças genéticas, auxiliar digestivo, agente anticancerígeno, remoção ou prevenção das placas dentárias, tratamento de acne e caspa, </w:t>
      </w:r>
      <w:proofErr w:type="spellStart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anti-sinais</w:t>
      </w:r>
      <w:proofErr w:type="spellEnd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combate de radicais livres, antibióticos e imunossupressores, produção de hormônios, vitaminas e vacinas. Ex.: amilases, celulases, proteases, </w:t>
      </w:r>
      <w:proofErr w:type="spellStart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L-asparaginase</w:t>
      </w:r>
      <w:proofErr w:type="spellEnd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lipases</w:t>
      </w:r>
      <w:proofErr w:type="spellEnd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catalase</w:t>
      </w:r>
      <w:proofErr w:type="spellEnd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glicoamilase</w:t>
      </w:r>
      <w:proofErr w:type="spellEnd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ligases</w:t>
      </w:r>
      <w:proofErr w:type="spellEnd"/>
      <w:r w:rsidR="00952313"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, invertases.</w:t>
      </w:r>
    </w:p>
    <w:p w:rsidR="00952313" w:rsidRPr="00952313" w:rsidRDefault="00952313" w:rsidP="00952313">
      <w:pPr>
        <w:pStyle w:val="PargrafodaLista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ambiental: alternativas biológicas à herbicidas e pesticidas, controle de pragas; tratamento de detritos tóxicos, metais pesados e corantes,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biorremediação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biodelignificação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rejeitos da agricultura, decomposição da madeira e material vegetal e plásticos, produção de papel, biossurfactantes. Ex.: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hidrolases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fenoloxidases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lipases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queratinases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fosfolipases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isomerases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celulases,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heicelulases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pectinases,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lignases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manganês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peroxidases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AEE" w:rsidRDefault="00952313" w:rsidP="00952313">
      <w:pPr>
        <w:pStyle w:val="PargrafodaLista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c. alimentar: preparo de concentrados líquidos de café; eliminação da glicose dos sólidos do ovo; mel artificial; bebidas, clarificação de vinho e de sucos de frutas; suplemento de farinha, preparo de massa, alimentos pré-cozidos, elaboração de xaropes, coagulação do leite (fórmulas infantis), queijo, saque,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remoção da lactose, branqueamento e amolecimento do pão, ração animal. Ex.: amilase, celulase,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glucosioxidase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invertase, pectinase, proteases, lactases, </w:t>
      </w:r>
      <w:proofErr w:type="spellStart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xilanases</w:t>
      </w:r>
      <w:proofErr w:type="spellEnd"/>
      <w:r w:rsidRPr="00952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313" w:rsidRDefault="00952313" w:rsidP="00952313">
      <w:pPr>
        <w:pStyle w:val="PargrafodaLista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313" w:rsidRPr="00C7425E" w:rsidRDefault="00952313" w:rsidP="00952313">
      <w:pPr>
        <w:pStyle w:val="PargrafodaLista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D5" w:rsidRPr="000956DC" w:rsidRDefault="004F74D5" w:rsidP="005B4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>Esquematize o ciclo de vida representativo de um</w:t>
      </w:r>
      <w:r w:rsidR="00790902" w:rsidRPr="00C7425E">
        <w:rPr>
          <w:rFonts w:ascii="Times New Roman" w:hAnsi="Times New Roman" w:cs="Times New Roman"/>
          <w:sz w:val="24"/>
          <w:szCs w:val="24"/>
        </w:rPr>
        <w:t xml:space="preserve"> filo </w:t>
      </w:r>
      <w:r w:rsidRPr="00C7425E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sub-filo</w:t>
      </w:r>
      <w:proofErr w:type="spellEnd"/>
      <w:r w:rsidR="00790902" w:rsidRPr="00C7425E">
        <w:rPr>
          <w:rFonts w:ascii="Times New Roman" w:hAnsi="Times New Roman" w:cs="Times New Roman"/>
          <w:sz w:val="24"/>
          <w:szCs w:val="24"/>
        </w:rPr>
        <w:t xml:space="preserve"> de fungo verdadeiro</w:t>
      </w:r>
      <w:r w:rsidRPr="00C7425E">
        <w:rPr>
          <w:rFonts w:ascii="Times New Roman" w:hAnsi="Times New Roman" w:cs="Times New Roman"/>
          <w:sz w:val="24"/>
          <w:szCs w:val="24"/>
        </w:rPr>
        <w:t xml:space="preserve">, </w:t>
      </w:r>
      <w:r w:rsidRPr="000956DC">
        <w:rPr>
          <w:rFonts w:ascii="Times New Roman" w:hAnsi="Times New Roman" w:cs="Times New Roman"/>
          <w:sz w:val="24"/>
          <w:szCs w:val="24"/>
        </w:rPr>
        <w:t>indicando nomes de estruturas e de eventos</w:t>
      </w:r>
      <w:r w:rsidR="005B49A2" w:rsidRPr="000956DC">
        <w:rPr>
          <w:rFonts w:ascii="Times New Roman" w:hAnsi="Times New Roman" w:cs="Times New Roman"/>
          <w:sz w:val="24"/>
          <w:szCs w:val="24"/>
        </w:rPr>
        <w:t xml:space="preserve"> (1 ponto)</w:t>
      </w:r>
      <w:r w:rsidRPr="000956DC">
        <w:rPr>
          <w:rFonts w:ascii="Times New Roman" w:hAnsi="Times New Roman" w:cs="Times New Roman"/>
          <w:sz w:val="24"/>
          <w:szCs w:val="24"/>
        </w:rPr>
        <w:t>.</w:t>
      </w:r>
    </w:p>
    <w:p w:rsidR="004F74D5" w:rsidRPr="00C7425E" w:rsidRDefault="004F74D5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D" w:rsidRDefault="005C429D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b/>
          <w:sz w:val="24"/>
          <w:szCs w:val="24"/>
        </w:rPr>
        <w:t>Ascomycotina</w:t>
      </w:r>
      <w:proofErr w:type="spellEnd"/>
    </w:p>
    <w:p w:rsidR="00952313" w:rsidRPr="00C7425E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D" w:rsidRPr="00C7425E" w:rsidRDefault="005C429D" w:rsidP="00952313">
      <w:pPr>
        <w:tabs>
          <w:tab w:val="num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910568" cy="4148920"/>
            <wp:effectExtent l="19050" t="0" r="0" b="0"/>
            <wp:docPr id="7" name="Imagem 3" descr="C:\Users\Roger\Desktop\Ciclo Chytridiomycota (Ascomyco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ger\Desktop\Ciclo Chytridiomycota (Ascomycota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30" cy="415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22B" w:rsidRDefault="0093522B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Basidiomycota</w:t>
      </w:r>
      <w:proofErr w:type="spellEnd"/>
    </w:p>
    <w:p w:rsidR="0093522B" w:rsidRDefault="0093522B" w:rsidP="00952313">
      <w:pPr>
        <w:tabs>
          <w:tab w:val="num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992950" cy="3774643"/>
            <wp:effectExtent l="19050" t="0" r="0" b="0"/>
            <wp:docPr id="4" name="Imagem 2" descr="C:\Users\Prof Tatiana\Downloads\Ciclo Basidiomycota (Agarical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 Tatiana\Downloads\Ciclo Basidiomycota (Agaricale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37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9D" w:rsidRPr="00C7425E" w:rsidRDefault="005C429D" w:rsidP="005C429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29D" w:rsidRPr="00C7425E" w:rsidRDefault="00F3160D" w:rsidP="009523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191340" cy="4190651"/>
            <wp:effectExtent l="19050" t="0" r="9310" b="0"/>
            <wp:docPr id="3" name="Imagem 1" descr="C:\Users\Prof Tatiana\Downloads\Ciclo - Ferrugem (Puccin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 Tatiana\Downloads\Ciclo - Ferrugem (Puccinia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64" cy="419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4F" w:rsidRDefault="00AE1F4F" w:rsidP="005B49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2313" w:rsidRDefault="00952313" w:rsidP="00952313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Default="00952313" w:rsidP="00952313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Pr="00C7425E" w:rsidRDefault="00952313" w:rsidP="00952313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b/>
          <w:sz w:val="24"/>
          <w:szCs w:val="24"/>
        </w:rPr>
        <w:lastRenderedPageBreak/>
        <w:t>Zygomycota</w:t>
      </w:r>
      <w:proofErr w:type="spellEnd"/>
    </w:p>
    <w:p w:rsidR="00952313" w:rsidRPr="00C7425E" w:rsidRDefault="00952313" w:rsidP="00952313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313" w:rsidRPr="00C7425E" w:rsidRDefault="00952313" w:rsidP="00952313">
      <w:pPr>
        <w:tabs>
          <w:tab w:val="num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44248" cy="3869741"/>
            <wp:effectExtent l="19050" t="0" r="4052" b="0"/>
            <wp:docPr id="2" name="Imagem 5" descr="C:\Users\Roger\Desktop\Ciclo Zygomycota (Mucoral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ger\Desktop\Ciclo Zygomycota (Mucorale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70" cy="387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13" w:rsidRPr="00C7425E" w:rsidRDefault="00952313" w:rsidP="005B49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3BD9" w:rsidRPr="000956DC" w:rsidRDefault="00223BD9" w:rsidP="005B49A2">
      <w:pPr>
        <w:pStyle w:val="PargrafodaLista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De acordo com a classificação de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Kendrick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(2000), o Reino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é representado por três filos: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Chytridiomycota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Zygomycota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Dikaryomycota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. Apresente as principais </w:t>
      </w:r>
      <w:r w:rsidRPr="000956DC">
        <w:rPr>
          <w:rFonts w:ascii="Times New Roman" w:hAnsi="Times New Roman" w:cs="Times New Roman"/>
          <w:sz w:val="24"/>
          <w:szCs w:val="24"/>
        </w:rPr>
        <w:t>características dos três grupos, evidenciando suas diferenças</w:t>
      </w:r>
      <w:r w:rsidR="005B49A2" w:rsidRPr="000956DC">
        <w:rPr>
          <w:rFonts w:ascii="Times New Roman" w:hAnsi="Times New Roman" w:cs="Times New Roman"/>
          <w:sz w:val="24"/>
          <w:szCs w:val="24"/>
        </w:rPr>
        <w:t xml:space="preserve"> (2 pontos)</w:t>
      </w:r>
      <w:r w:rsidRPr="000956DC">
        <w:rPr>
          <w:rFonts w:ascii="Times New Roman" w:hAnsi="Times New Roman" w:cs="Times New Roman"/>
          <w:sz w:val="24"/>
          <w:szCs w:val="24"/>
        </w:rPr>
        <w:t>.</w:t>
      </w:r>
    </w:p>
    <w:p w:rsidR="00223BD9" w:rsidRPr="00C7425E" w:rsidRDefault="00223BD9" w:rsidP="005B49A2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32" w:rsidRDefault="00223BD9" w:rsidP="005B49A2">
      <w:pPr>
        <w:pStyle w:val="PargrafodaLista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Representantes de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Chytridiomycota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são predominantemente aquáticos, formando talos unicelulares (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holocárpicos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eucárpicos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) ou filamentosos cenocíticos (sem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septação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regular), sendo o único grupo de fungos a formar esporos flagelados: os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zoosporos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, com um flagelo liso e posterior, formados por clivagem citoplasmática no interior de zoosporângios. Em alguns grupos pode ocorrer reprodução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oogâmica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ou alternância de gerações heteromórfica. </w:t>
      </w:r>
    </w:p>
    <w:p w:rsidR="00397C32" w:rsidRDefault="00223BD9" w:rsidP="005B49A2">
      <w:pPr>
        <w:pStyle w:val="PargrafodaLista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Zygomycota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contém formas predominantemente terrestres, com micélio formado por hifas cenocíticas (sem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septação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regular), formando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esporangiosporos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em esporângios na reprodução assexuada 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zigosporângios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contendo um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zigósporo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multinucleado na reprodução sexuada. A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plasmogamia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ocorre por copulação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gametangial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BD9" w:rsidRPr="00C7425E" w:rsidRDefault="00223BD9" w:rsidP="005B49A2">
      <w:pPr>
        <w:pStyle w:val="PargrafodaLista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sz w:val="24"/>
          <w:szCs w:val="24"/>
        </w:rPr>
        <w:t>Dikaryomycota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são predominantemente terrestres, </w:t>
      </w:r>
      <w:proofErr w:type="spellStart"/>
      <w:r w:rsidR="00780065">
        <w:rPr>
          <w:rFonts w:ascii="Times New Roman" w:hAnsi="Times New Roman" w:cs="Times New Roman"/>
          <w:sz w:val="24"/>
          <w:szCs w:val="24"/>
        </w:rPr>
        <w:t>leveduriformes</w:t>
      </w:r>
      <w:proofErr w:type="spellEnd"/>
      <w:r w:rsidR="00780065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780065">
        <w:rPr>
          <w:rFonts w:ascii="Times New Roman" w:hAnsi="Times New Roman" w:cs="Times New Roman"/>
          <w:sz w:val="24"/>
          <w:szCs w:val="24"/>
        </w:rPr>
        <w:t>miceliais</w:t>
      </w:r>
      <w:proofErr w:type="spellEnd"/>
      <w:r w:rsidR="00780065">
        <w:rPr>
          <w:rFonts w:ascii="Times New Roman" w:hAnsi="Times New Roman" w:cs="Times New Roman"/>
          <w:sz w:val="24"/>
          <w:szCs w:val="24"/>
        </w:rPr>
        <w:t xml:space="preserve">, neste caso </w:t>
      </w:r>
      <w:r w:rsidRPr="00C7425E">
        <w:rPr>
          <w:rFonts w:ascii="Times New Roman" w:hAnsi="Times New Roman" w:cs="Times New Roman"/>
          <w:sz w:val="24"/>
          <w:szCs w:val="24"/>
        </w:rPr>
        <w:t xml:space="preserve">com hifas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apocíticas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(regularmente septadas), formando conídios para reprodução assexuada e </w:t>
      </w:r>
      <w:r w:rsidR="00E76833">
        <w:rPr>
          <w:rFonts w:ascii="Times New Roman" w:hAnsi="Times New Roman" w:cs="Times New Roman"/>
          <w:sz w:val="24"/>
          <w:szCs w:val="24"/>
        </w:rPr>
        <w:t xml:space="preserve">esporos na reprodução sexuada, em que </w:t>
      </w:r>
      <w:r w:rsidRPr="00C742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plasmogamia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pode ocorrer por contato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gametangial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espermatização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somatogamia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  <w:r w:rsidR="00E76833">
        <w:rPr>
          <w:rFonts w:ascii="Times New Roman" w:hAnsi="Times New Roman" w:cs="Times New Roman"/>
          <w:sz w:val="24"/>
          <w:szCs w:val="24"/>
        </w:rPr>
        <w:t xml:space="preserve"> </w:t>
      </w:r>
      <w:r w:rsidR="0054095B">
        <w:rPr>
          <w:rFonts w:ascii="Times New Roman" w:hAnsi="Times New Roman" w:cs="Times New Roman"/>
          <w:sz w:val="24"/>
          <w:szCs w:val="24"/>
        </w:rPr>
        <w:t xml:space="preserve">Apresentam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dicariofase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, em que dois núcleos provenientes de indivíduos distintos da mesma espécies estão presentes em cada compartimento das hifas sem </w:t>
      </w:r>
      <w:r w:rsidR="0054095B">
        <w:rPr>
          <w:rFonts w:ascii="Times New Roman" w:hAnsi="Times New Roman" w:cs="Times New Roman"/>
          <w:sz w:val="24"/>
          <w:szCs w:val="24"/>
        </w:rPr>
        <w:lastRenderedPageBreak/>
        <w:t xml:space="preserve">sofrer cariogamia. è dividido nos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sub-filos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Ascomycotina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Basidiomycotina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. Representantes de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Ascomycotina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 produzem esporos sexuados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haplóides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, chamados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ascosporos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, dentro de células denominadas ascos, enquanto espécies de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Basidiomycotina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 produzem esporos sexuados haploides, chamados </w:t>
      </w:r>
      <w:proofErr w:type="spellStart"/>
      <w:r w:rsidR="0054095B">
        <w:rPr>
          <w:rFonts w:ascii="Times New Roman" w:hAnsi="Times New Roman" w:cs="Times New Roman"/>
          <w:sz w:val="24"/>
          <w:szCs w:val="24"/>
        </w:rPr>
        <w:t>basidiosporos</w:t>
      </w:r>
      <w:proofErr w:type="spellEnd"/>
      <w:r w:rsidR="0054095B">
        <w:rPr>
          <w:rFonts w:ascii="Times New Roman" w:hAnsi="Times New Roman" w:cs="Times New Roman"/>
          <w:sz w:val="24"/>
          <w:szCs w:val="24"/>
        </w:rPr>
        <w:t xml:space="preserve">, em projeções externas (esterigmas) de células chamadas basídios. </w:t>
      </w:r>
    </w:p>
    <w:p w:rsidR="00223BD9" w:rsidRPr="00C7425E" w:rsidRDefault="00223BD9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23A7" w:rsidRPr="000956DC" w:rsidRDefault="00E223A7" w:rsidP="005B49A2">
      <w:pPr>
        <w:pStyle w:val="PargrafodaLista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A reprodução sexuada dos fungos, embora desconhecida em alguns grupos, é um dos principais mecanismos geradores de variabilidade genética nos representantes desse reino. Esse processo envolve três eventos-chave: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plasmogamia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, caracterizada pela fusão de protoplasmas, seja de gametas, gametângios ou de hifas indiferenciadas, entre estruturas do mesmo indivíduo ou de indivíduos diferentes, geneticamente compatíveis para reprodução; (2) cariogamia, que é a fusão entre dois gametas (núcleos), gerando um zigoto diploide, que é imediatamente sucedida por uma (3) meiose. Em fungos, há pelo menos cinco tipos conhecidos de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plasmogamia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, variando de grupo para grupo, envolvendo contatos ou copulações de partes específicas ou indiferenciadas. Cite </w:t>
      </w:r>
      <w:r w:rsidRPr="00C7425E">
        <w:rPr>
          <w:rFonts w:ascii="Times New Roman" w:hAnsi="Times New Roman" w:cs="Times New Roman"/>
          <w:sz w:val="24"/>
          <w:szCs w:val="24"/>
          <w:u w:val="single"/>
        </w:rPr>
        <w:t>pelo menos dois tipos</w:t>
      </w:r>
      <w:r w:rsidRPr="00C742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56DC">
        <w:rPr>
          <w:rFonts w:ascii="Times New Roman" w:hAnsi="Times New Roman" w:cs="Times New Roman"/>
          <w:sz w:val="24"/>
          <w:szCs w:val="24"/>
        </w:rPr>
        <w:t>plasmogamia</w:t>
      </w:r>
      <w:proofErr w:type="spellEnd"/>
      <w:r w:rsidRPr="000956DC">
        <w:rPr>
          <w:rFonts w:ascii="Times New Roman" w:hAnsi="Times New Roman" w:cs="Times New Roman"/>
          <w:sz w:val="24"/>
          <w:szCs w:val="24"/>
        </w:rPr>
        <w:t>, descreva como e em que grupos ocorre</w:t>
      </w:r>
      <w:r w:rsidR="005B49A2" w:rsidRPr="000956DC">
        <w:rPr>
          <w:rFonts w:ascii="Times New Roman" w:hAnsi="Times New Roman" w:cs="Times New Roman"/>
          <w:sz w:val="24"/>
          <w:szCs w:val="24"/>
        </w:rPr>
        <w:t xml:space="preserve"> (2 pontos)</w:t>
      </w:r>
      <w:r w:rsidRPr="000956DC">
        <w:rPr>
          <w:rFonts w:ascii="Times New Roman" w:hAnsi="Times New Roman" w:cs="Times New Roman"/>
          <w:sz w:val="24"/>
          <w:szCs w:val="24"/>
        </w:rPr>
        <w:t>.</w:t>
      </w:r>
    </w:p>
    <w:p w:rsidR="00E223A7" w:rsidRPr="00C7425E" w:rsidRDefault="00E223A7" w:rsidP="005B4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A7" w:rsidRPr="00C7425E" w:rsidRDefault="00E223A7" w:rsidP="005B49A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Copulação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planogamética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copulação/fusão entre protoplasmas de gametas móveis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natantes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, ocorrendo na água ou no interior de um oogônio (Ordem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Monoblepharidales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). Ocorre no Filo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Chytridiomycota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</w:p>
    <w:p w:rsidR="00E223A7" w:rsidRPr="00C7425E" w:rsidRDefault="00E223A7" w:rsidP="005B49A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Copulação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gametangial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copulação/fusão completa entre protoplasmas de porções diferenciadas de um micélio, denominadas "gametângios", gerando uma nova célula comum à ambos micélios parentais, onde ocorrerá cariogamia e a meiose. Ocorre no Filo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Zygomycota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</w:p>
    <w:p w:rsidR="00E223A7" w:rsidRPr="00C7425E" w:rsidRDefault="00E223A7" w:rsidP="005B49A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t xml:space="preserve">Contato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gametangial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copulação/fusão em apenas um ponto de encontro, onde ocorre transferência de núcleos de um gametângio (por isso denominado "masculino") para outro (por isso denominado "feminino"). O novo fungo se desenvolve a partir do gametângio feminino. Ocorre no Filo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Dikaryomycota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</w:p>
    <w:p w:rsidR="00E223A7" w:rsidRPr="00C7425E" w:rsidRDefault="00E223A7" w:rsidP="005B49A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sz w:val="24"/>
          <w:szCs w:val="24"/>
        </w:rPr>
        <w:t>Espermatização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copulação/fusão em apenas um ponto de encontro, onde ocorre transferência de núcleos de um espermácio (conídio, fragmento de micélio, etc.) para uma hifa receptiva ou gametângio feminino. O novo fungo se desenvolve a partir do micélio que recebeu o núcleo. Ocorre no Filo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Dikaryomycota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</w:p>
    <w:p w:rsidR="00E223A7" w:rsidRPr="00C7425E" w:rsidRDefault="00E223A7" w:rsidP="005B49A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5E">
        <w:rPr>
          <w:rFonts w:ascii="Times New Roman" w:hAnsi="Times New Roman" w:cs="Times New Roman"/>
          <w:sz w:val="24"/>
          <w:szCs w:val="24"/>
        </w:rPr>
        <w:t>Somatogamia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ulação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/fusão completa entre protoplasmas de porções somáticas, indiferenciadas de um micélio, geralmente iniciando crescimento dicariótico somático. O novo fungo se desenvolverá posteriormente nesse micélio secundário. Ocorre no Filo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Dikaryomycota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>.</w:t>
      </w:r>
    </w:p>
    <w:p w:rsidR="00E223A7" w:rsidRDefault="00E223A7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313" w:rsidRDefault="00952313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313" w:rsidRPr="00C7425E" w:rsidRDefault="00952313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74B4" w:rsidRPr="000956DC" w:rsidRDefault="00FC74B4" w:rsidP="00C7425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5E">
        <w:rPr>
          <w:rFonts w:ascii="Times New Roman" w:hAnsi="Times New Roman" w:cs="Times New Roman"/>
          <w:sz w:val="24"/>
          <w:szCs w:val="24"/>
        </w:rPr>
        <w:lastRenderedPageBreak/>
        <w:t xml:space="preserve">Seis tratamentos formados por diferentes substratos (tabela 1) em um experimento para analisar o crescimento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micelial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do fungo comestível </w:t>
      </w:r>
      <w:proofErr w:type="spellStart"/>
      <w:r w:rsidRPr="00C7425E">
        <w:rPr>
          <w:rFonts w:ascii="Times New Roman" w:hAnsi="Times New Roman" w:cs="Times New Roman"/>
          <w:i/>
          <w:sz w:val="24"/>
          <w:szCs w:val="24"/>
        </w:rPr>
        <w:t>Oudemansiella</w:t>
      </w:r>
      <w:proofErr w:type="spellEnd"/>
      <w:r w:rsidRPr="00C74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425E">
        <w:rPr>
          <w:rFonts w:ascii="Times New Roman" w:hAnsi="Times New Roman" w:cs="Times New Roman"/>
          <w:i/>
          <w:sz w:val="24"/>
          <w:szCs w:val="24"/>
        </w:rPr>
        <w:t>canarii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(tabela 2). Se você fosse iniciar um cultivo desta espécies para fins comerciais, qual tratamento você </w:t>
      </w:r>
      <w:r w:rsidRPr="000956DC">
        <w:rPr>
          <w:rFonts w:ascii="Times New Roman" w:hAnsi="Times New Roman" w:cs="Times New Roman"/>
          <w:sz w:val="24"/>
          <w:szCs w:val="24"/>
        </w:rPr>
        <w:t>utilizaria? Justifique</w:t>
      </w:r>
      <w:r w:rsidR="005B49A2" w:rsidRPr="000956DC">
        <w:rPr>
          <w:rFonts w:ascii="Times New Roman" w:hAnsi="Times New Roman" w:cs="Times New Roman"/>
          <w:sz w:val="24"/>
          <w:szCs w:val="24"/>
        </w:rPr>
        <w:t xml:space="preserve"> (1 ponto)</w:t>
      </w:r>
      <w:r w:rsidRPr="000956DC">
        <w:rPr>
          <w:rFonts w:ascii="Times New Roman" w:hAnsi="Times New Roman" w:cs="Times New Roman"/>
          <w:sz w:val="24"/>
          <w:szCs w:val="24"/>
        </w:rPr>
        <w:t>.</w:t>
      </w:r>
    </w:p>
    <w:p w:rsidR="00FC74B4" w:rsidRPr="00C7425E" w:rsidRDefault="00FC74B4" w:rsidP="005B49A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74B4" w:rsidRPr="00C7425E" w:rsidRDefault="00FC74B4" w:rsidP="005B49A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Tabela 1.  </w:t>
      </w:r>
      <w:r w:rsidR="00C7425E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Composição dos s</w:t>
      </w:r>
      <w:r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eis </w:t>
      </w:r>
      <w:r w:rsidR="00C7425E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tratamentos (T) testados</w:t>
      </w:r>
      <w:r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cultivo de </w:t>
      </w:r>
      <w:proofErr w:type="spellStart"/>
      <w:r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Oudemansiella</w:t>
      </w:r>
      <w:proofErr w:type="spellEnd"/>
      <w:r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canarii</w:t>
      </w:r>
      <w:proofErr w:type="spellEnd"/>
      <w:r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 ( % por peso seco).</w:t>
      </w:r>
    </w:p>
    <w:tbl>
      <w:tblPr>
        <w:tblW w:w="4449" w:type="pct"/>
        <w:tblInd w:w="8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3"/>
        <w:gridCol w:w="974"/>
        <w:gridCol w:w="976"/>
        <w:gridCol w:w="976"/>
        <w:gridCol w:w="976"/>
        <w:gridCol w:w="976"/>
        <w:gridCol w:w="972"/>
      </w:tblGrid>
      <w:tr w:rsidR="00FC74B4" w:rsidRPr="00C7425E" w:rsidTr="00A67898">
        <w:trPr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F9FBFC"/>
              <w:bottom w:val="single" w:sz="4" w:space="0" w:color="auto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3147" w:type="pct"/>
            <w:gridSpan w:val="6"/>
            <w:tcBorders>
              <w:top w:val="single" w:sz="4" w:space="0" w:color="auto"/>
              <w:left w:val="single" w:sz="4" w:space="0" w:color="F9FBFC"/>
              <w:bottom w:val="single" w:sz="4" w:space="0" w:color="auto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</w:t>
            </w:r>
          </w:p>
        </w:tc>
      </w:tr>
      <w:tr w:rsidR="00A67898" w:rsidRPr="00C7425E" w:rsidTr="00A67898">
        <w:trPr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F9FBFC"/>
              <w:bottom w:val="single" w:sz="4" w:space="0" w:color="F9FBFC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T6</w:t>
            </w:r>
          </w:p>
        </w:tc>
      </w:tr>
      <w:tr w:rsidR="00A67898" w:rsidRPr="00C7425E" w:rsidTr="00A67898">
        <w:tc>
          <w:tcPr>
            <w:tcW w:w="185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Casca de caroço de algodão</w:t>
            </w:r>
          </w:p>
        </w:tc>
        <w:tc>
          <w:tcPr>
            <w:tcW w:w="524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A67898" w:rsidRPr="00C7425E" w:rsidTr="00A67898">
        <w:tc>
          <w:tcPr>
            <w:tcW w:w="185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Serragem</w:t>
            </w:r>
          </w:p>
        </w:tc>
        <w:tc>
          <w:tcPr>
            <w:tcW w:w="524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A67898" w:rsidRPr="00C7425E" w:rsidTr="00A67898">
        <w:tc>
          <w:tcPr>
            <w:tcW w:w="185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Espiga de milho</w:t>
            </w:r>
          </w:p>
        </w:tc>
        <w:tc>
          <w:tcPr>
            <w:tcW w:w="524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A67898" w:rsidRPr="00C7425E" w:rsidTr="00A67898">
        <w:tc>
          <w:tcPr>
            <w:tcW w:w="185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Farelo de trigo</w:t>
            </w:r>
          </w:p>
        </w:tc>
        <w:tc>
          <w:tcPr>
            <w:tcW w:w="524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3" w:type="pct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</w:tr>
      <w:tr w:rsidR="00A67898" w:rsidRPr="00C7425E" w:rsidTr="00A67898">
        <w:tc>
          <w:tcPr>
            <w:tcW w:w="1853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Calcário</w:t>
            </w:r>
          </w:p>
        </w:tc>
        <w:tc>
          <w:tcPr>
            <w:tcW w:w="524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5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3" w:type="pct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FC74B4" w:rsidRPr="00C7425E" w:rsidRDefault="00FC74B4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74B4" w:rsidRPr="00C7425E" w:rsidRDefault="00FC74B4" w:rsidP="005B49A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25E">
        <w:rPr>
          <w:rFonts w:ascii="Times New Roman" w:hAnsi="Times New Roman" w:cs="Times New Roman"/>
          <w:sz w:val="24"/>
          <w:szCs w:val="24"/>
        </w:rPr>
        <w:t>Tabela 2.  Comparação d</w:t>
      </w:r>
      <w:r w:rsidR="00AE17ED" w:rsidRPr="00C7425E">
        <w:rPr>
          <w:rFonts w:ascii="Times New Roman" w:hAnsi="Times New Roman" w:cs="Times New Roman"/>
          <w:sz w:val="24"/>
          <w:szCs w:val="24"/>
        </w:rPr>
        <w:t>a taxa de</w:t>
      </w:r>
      <w:r w:rsidRPr="00C7425E">
        <w:rPr>
          <w:rFonts w:ascii="Times New Roman" w:hAnsi="Times New Roman" w:cs="Times New Roman"/>
          <w:sz w:val="24"/>
          <w:szCs w:val="24"/>
        </w:rPr>
        <w:t xml:space="preserve"> crescimento </w:t>
      </w:r>
      <w:proofErr w:type="spellStart"/>
      <w:r w:rsidRPr="00C7425E">
        <w:rPr>
          <w:rFonts w:ascii="Times New Roman" w:hAnsi="Times New Roman" w:cs="Times New Roman"/>
          <w:sz w:val="24"/>
          <w:szCs w:val="24"/>
        </w:rPr>
        <w:t>micelial</w:t>
      </w:r>
      <w:proofErr w:type="spellEnd"/>
      <w:r w:rsidRPr="00C7425E">
        <w:rPr>
          <w:rFonts w:ascii="Times New Roman" w:hAnsi="Times New Roman" w:cs="Times New Roman"/>
          <w:sz w:val="24"/>
          <w:szCs w:val="24"/>
        </w:rPr>
        <w:t xml:space="preserve"> e </w:t>
      </w:r>
      <w:r w:rsidR="00AE17ED" w:rsidRPr="00C7425E">
        <w:rPr>
          <w:rFonts w:ascii="Times New Roman" w:hAnsi="Times New Roman" w:cs="Times New Roman"/>
          <w:sz w:val="24"/>
          <w:szCs w:val="24"/>
        </w:rPr>
        <w:t xml:space="preserve">do </w:t>
      </w:r>
      <w:r w:rsidRPr="00C7425E">
        <w:rPr>
          <w:rFonts w:ascii="Times New Roman" w:hAnsi="Times New Roman" w:cs="Times New Roman"/>
          <w:sz w:val="24"/>
          <w:szCs w:val="24"/>
        </w:rPr>
        <w:t xml:space="preserve">tempo </w:t>
      </w:r>
      <w:r w:rsidR="00AE17ED" w:rsidRPr="00C7425E">
        <w:rPr>
          <w:rFonts w:ascii="Times New Roman" w:hAnsi="Times New Roman" w:cs="Times New Roman"/>
          <w:sz w:val="24"/>
          <w:szCs w:val="24"/>
        </w:rPr>
        <w:t xml:space="preserve">de colonização </w:t>
      </w:r>
      <w:proofErr w:type="spellStart"/>
      <w:r w:rsidR="00AE17ED" w:rsidRPr="00C7425E">
        <w:rPr>
          <w:rFonts w:ascii="Times New Roman" w:hAnsi="Times New Roman" w:cs="Times New Roman"/>
          <w:sz w:val="24"/>
          <w:szCs w:val="24"/>
        </w:rPr>
        <w:t>micelial</w:t>
      </w:r>
      <w:proofErr w:type="spellEnd"/>
      <w:r w:rsidR="00AE17ED" w:rsidRPr="00C742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17ED"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Oudemansiella</w:t>
      </w:r>
      <w:proofErr w:type="spellEnd"/>
      <w:r w:rsidR="00AE17ED"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="00AE17ED"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canarii</w:t>
      </w:r>
      <w:proofErr w:type="spellEnd"/>
      <w:r w:rsidR="00AE17ED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 cultivada em diferentes tratamentos.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1347"/>
        <w:gridCol w:w="3582"/>
        <w:gridCol w:w="4229"/>
      </w:tblGrid>
      <w:tr w:rsidR="005B49A2" w:rsidRPr="00C7425E" w:rsidTr="00C742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F9FBFC"/>
              <w:bottom w:val="single" w:sz="4" w:space="0" w:color="auto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AE17ED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Tratamento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F9FBFC"/>
              <w:bottom w:val="single" w:sz="4" w:space="0" w:color="auto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AE17ED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Taxa de </w:t>
            </w:r>
            <w:proofErr w:type="spellStart"/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crescimento</w:t>
            </w:r>
            <w:hyperlink r:id="rId9" w:anchor="tblfn1" w:history="1">
              <w:r w:rsidR="00FC74B4" w:rsidRPr="00C7425E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pt-BR"/>
                </w:rPr>
                <w:t>a</w:t>
              </w:r>
              <w:proofErr w:type="spellEnd"/>
            </w:hyperlink>
            <w:r w:rsidR="00FC74B4"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(mm/d) </w:t>
            </w: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</w:t>
            </w:r>
            <w:r w:rsidR="00FC74B4"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± </w:t>
            </w: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desvio padrão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F9FBFC"/>
              <w:bottom w:val="single" w:sz="4" w:space="0" w:color="auto"/>
              <w:right w:val="single" w:sz="4" w:space="0" w:color="F9FBFC"/>
            </w:tcBorders>
            <w:shd w:val="clear" w:color="auto" w:fill="F9FBF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5B49A2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Tempo de colonização </w:t>
            </w:r>
            <w:proofErr w:type="spellStart"/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micelial</w:t>
            </w:r>
            <w:proofErr w:type="spellEnd"/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(dias)</w:t>
            </w:r>
          </w:p>
        </w:tc>
      </w:tr>
      <w:tr w:rsidR="005B49A2" w:rsidRPr="00C7425E" w:rsidTr="00C7425E">
        <w:tc>
          <w:tcPr>
            <w:tcW w:w="0" w:type="auto"/>
            <w:tcBorders>
              <w:top w:val="single" w:sz="4" w:space="0" w:color="auto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5.51±0.30a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5B49A2" w:rsidRPr="00C7425E" w:rsidTr="00C7425E">
        <w:tc>
          <w:tcPr>
            <w:tcW w:w="0" w:type="auto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T4</w:t>
            </w:r>
          </w:p>
        </w:tc>
        <w:tc>
          <w:tcPr>
            <w:tcW w:w="3582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4.93±0.16b</w:t>
            </w:r>
          </w:p>
        </w:tc>
        <w:tc>
          <w:tcPr>
            <w:tcW w:w="4229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5B49A2" w:rsidRPr="00C7425E" w:rsidTr="00C7425E">
        <w:tc>
          <w:tcPr>
            <w:tcW w:w="0" w:type="auto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T1</w:t>
            </w:r>
          </w:p>
        </w:tc>
        <w:tc>
          <w:tcPr>
            <w:tcW w:w="3582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4.88±0.06b</w:t>
            </w:r>
          </w:p>
        </w:tc>
        <w:tc>
          <w:tcPr>
            <w:tcW w:w="4229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</w:tr>
      <w:tr w:rsidR="005B49A2" w:rsidRPr="00C7425E" w:rsidTr="00C7425E">
        <w:tc>
          <w:tcPr>
            <w:tcW w:w="0" w:type="auto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T6</w:t>
            </w:r>
          </w:p>
        </w:tc>
        <w:tc>
          <w:tcPr>
            <w:tcW w:w="3582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4.45±0.20c</w:t>
            </w:r>
          </w:p>
        </w:tc>
        <w:tc>
          <w:tcPr>
            <w:tcW w:w="4229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</w:tr>
      <w:tr w:rsidR="005B49A2" w:rsidRPr="00C7425E" w:rsidTr="00C7425E">
        <w:tc>
          <w:tcPr>
            <w:tcW w:w="0" w:type="auto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T3</w:t>
            </w:r>
          </w:p>
        </w:tc>
        <w:tc>
          <w:tcPr>
            <w:tcW w:w="3582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4.32±0.27c</w:t>
            </w:r>
          </w:p>
        </w:tc>
        <w:tc>
          <w:tcPr>
            <w:tcW w:w="4229" w:type="dxa"/>
            <w:tcBorders>
              <w:top w:val="single" w:sz="4" w:space="0" w:color="ECF2F6"/>
              <w:left w:val="single" w:sz="4" w:space="0" w:color="ECF2F6"/>
              <w:bottom w:val="single" w:sz="4" w:space="0" w:color="ECF2F6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</w:tr>
      <w:tr w:rsidR="005B49A2" w:rsidRPr="00C7425E" w:rsidTr="00C7425E">
        <w:tc>
          <w:tcPr>
            <w:tcW w:w="0" w:type="auto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T5</w:t>
            </w:r>
          </w:p>
        </w:tc>
        <w:tc>
          <w:tcPr>
            <w:tcW w:w="3582" w:type="dxa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3.94±0.16d</w:t>
            </w:r>
          </w:p>
        </w:tc>
        <w:tc>
          <w:tcPr>
            <w:tcW w:w="4229" w:type="dxa"/>
            <w:tcBorders>
              <w:top w:val="single" w:sz="4" w:space="0" w:color="ECF2F6"/>
              <w:left w:val="single" w:sz="4" w:space="0" w:color="ECF2F6"/>
              <w:bottom w:val="single" w:sz="4" w:space="0" w:color="auto"/>
              <w:right w:val="single" w:sz="4" w:space="0" w:color="ECF2F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FC74B4" w:rsidRPr="00C7425E" w:rsidRDefault="00FC74B4" w:rsidP="005B4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42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</w:tr>
    </w:tbl>
    <w:p w:rsidR="00FC74B4" w:rsidRPr="00C7425E" w:rsidRDefault="00FC74B4" w:rsidP="005B49A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42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a</w:t>
      </w:r>
      <w:r w:rsidR="00AE17ED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Valores são as médias de 3 </w:t>
      </w:r>
      <w:proofErr w:type="spellStart"/>
      <w:r w:rsidR="00AE17ED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replicatas</w:t>
      </w:r>
      <w:proofErr w:type="spellEnd"/>
      <w:r w:rsidR="00AE17ED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. Médias na coluna seguidas pelas me</w:t>
      </w:r>
      <w:r w:rsidR="005B49A2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E17ED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letras não são significativamente diferentes a </w:t>
      </w:r>
      <w:r w:rsidRPr="00C742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</w:t>
      </w:r>
      <w:r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&lt; 0.05 </w:t>
      </w:r>
      <w:r w:rsidR="00AE17ED"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teste de Duncan</w:t>
      </w:r>
      <w:r w:rsidRPr="00C742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52313" w:rsidRDefault="00952313" w:rsidP="005B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6AFB" w:rsidRPr="00C7425E" w:rsidRDefault="00C7425E" w:rsidP="0095231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</w:t>
      </w:r>
      <w:r w:rsidR="00666AFB" w:rsidRPr="00C7425E">
        <w:rPr>
          <w:rFonts w:ascii="Times New Roman" w:hAnsi="Times New Roman" w:cs="Times New Roman"/>
          <w:sz w:val="24"/>
          <w:szCs w:val="24"/>
        </w:rPr>
        <w:t xml:space="preserve">O tratamento T2, pois foi o tratamento em que o fungo </w:t>
      </w:r>
      <w:r w:rsidR="00952313">
        <w:rPr>
          <w:rFonts w:ascii="Times New Roman" w:hAnsi="Times New Roman" w:cs="Times New Roman"/>
          <w:sz w:val="24"/>
          <w:szCs w:val="24"/>
        </w:rPr>
        <w:t xml:space="preserve">teve maior crescimento </w:t>
      </w:r>
      <w:proofErr w:type="spellStart"/>
      <w:r w:rsidR="00952313">
        <w:rPr>
          <w:rFonts w:ascii="Times New Roman" w:hAnsi="Times New Roman" w:cs="Times New Roman"/>
          <w:sz w:val="24"/>
          <w:szCs w:val="24"/>
        </w:rPr>
        <w:t>micelial</w:t>
      </w:r>
      <w:proofErr w:type="spellEnd"/>
      <w:r w:rsidR="00952313">
        <w:rPr>
          <w:rFonts w:ascii="Times New Roman" w:hAnsi="Times New Roman" w:cs="Times New Roman"/>
          <w:sz w:val="24"/>
          <w:szCs w:val="24"/>
        </w:rPr>
        <w:t xml:space="preserve"> em menor tempo</w:t>
      </w:r>
      <w:r w:rsidR="00666AFB" w:rsidRPr="00C7425E">
        <w:rPr>
          <w:rFonts w:ascii="Times New Roman" w:hAnsi="Times New Roman" w:cs="Times New Roman"/>
          <w:sz w:val="24"/>
          <w:szCs w:val="24"/>
        </w:rPr>
        <w:t>.</w:t>
      </w:r>
    </w:p>
    <w:sectPr w:rsidR="00666AFB" w:rsidRPr="00C7425E" w:rsidSect="009523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28E"/>
    <w:multiLevelType w:val="hybridMultilevel"/>
    <w:tmpl w:val="B3624838"/>
    <w:lvl w:ilvl="0" w:tplc="C9F8A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663D"/>
    <w:multiLevelType w:val="hybridMultilevel"/>
    <w:tmpl w:val="15047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8371F"/>
    <w:multiLevelType w:val="hybridMultilevel"/>
    <w:tmpl w:val="C5F61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5D03"/>
    <w:multiLevelType w:val="hybridMultilevel"/>
    <w:tmpl w:val="0A9A1C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CA320">
      <w:start w:val="1"/>
      <w:numFmt w:val="lowerLetter"/>
      <w:lvlText w:val="%2-"/>
      <w:lvlJc w:val="left"/>
      <w:pPr>
        <w:ind w:left="1545" w:hanging="46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B7A"/>
    <w:multiLevelType w:val="hybridMultilevel"/>
    <w:tmpl w:val="F06859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782D"/>
    <w:multiLevelType w:val="hybridMultilevel"/>
    <w:tmpl w:val="7668E78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BB2175"/>
    <w:multiLevelType w:val="hybridMultilevel"/>
    <w:tmpl w:val="7E1A37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1509E"/>
    <w:multiLevelType w:val="hybridMultilevel"/>
    <w:tmpl w:val="DA907C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069AF"/>
    <w:multiLevelType w:val="hybridMultilevel"/>
    <w:tmpl w:val="21DE89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13906"/>
    <w:multiLevelType w:val="hybridMultilevel"/>
    <w:tmpl w:val="BEF2D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56D8"/>
    <w:rsid w:val="000722C6"/>
    <w:rsid w:val="000956DC"/>
    <w:rsid w:val="000E5867"/>
    <w:rsid w:val="000F011C"/>
    <w:rsid w:val="001B5561"/>
    <w:rsid w:val="00223BD9"/>
    <w:rsid w:val="00225AB5"/>
    <w:rsid w:val="003549C1"/>
    <w:rsid w:val="00397C32"/>
    <w:rsid w:val="003C00FA"/>
    <w:rsid w:val="004B0BD7"/>
    <w:rsid w:val="004F74D5"/>
    <w:rsid w:val="004F7B61"/>
    <w:rsid w:val="0054095B"/>
    <w:rsid w:val="005B49A2"/>
    <w:rsid w:val="005C429D"/>
    <w:rsid w:val="00666AFB"/>
    <w:rsid w:val="00670D86"/>
    <w:rsid w:val="006874BE"/>
    <w:rsid w:val="00776A38"/>
    <w:rsid w:val="00780065"/>
    <w:rsid w:val="00790902"/>
    <w:rsid w:val="00851F51"/>
    <w:rsid w:val="008B449C"/>
    <w:rsid w:val="008E3293"/>
    <w:rsid w:val="00911AEE"/>
    <w:rsid w:val="0093522B"/>
    <w:rsid w:val="00952313"/>
    <w:rsid w:val="009D01E5"/>
    <w:rsid w:val="00A356BB"/>
    <w:rsid w:val="00A67898"/>
    <w:rsid w:val="00A856D8"/>
    <w:rsid w:val="00AE17ED"/>
    <w:rsid w:val="00AE1F4F"/>
    <w:rsid w:val="00B65F8E"/>
    <w:rsid w:val="00BC1EC9"/>
    <w:rsid w:val="00BE505C"/>
    <w:rsid w:val="00BF43CE"/>
    <w:rsid w:val="00C37131"/>
    <w:rsid w:val="00C7425E"/>
    <w:rsid w:val="00C94E19"/>
    <w:rsid w:val="00CB205F"/>
    <w:rsid w:val="00DF30D0"/>
    <w:rsid w:val="00E223A7"/>
    <w:rsid w:val="00E74BE5"/>
    <w:rsid w:val="00E76833"/>
    <w:rsid w:val="00ED72DA"/>
    <w:rsid w:val="00F3160D"/>
    <w:rsid w:val="00FC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56D8"/>
    <w:pPr>
      <w:ind w:left="720"/>
      <w:contextualSpacing/>
    </w:pPr>
    <w:rPr>
      <w:rFonts w:eastAsiaTheme="minorEastAsia"/>
      <w:lang w:eastAsia="pt-BR"/>
    </w:rPr>
  </w:style>
  <w:style w:type="character" w:customStyle="1" w:styleId="label">
    <w:name w:val="label"/>
    <w:basedOn w:val="Fontepargpadro"/>
    <w:rsid w:val="00FC74B4"/>
  </w:style>
  <w:style w:type="paragraph" w:styleId="NormalWeb">
    <w:name w:val="Normal (Web)"/>
    <w:basedOn w:val="Normal"/>
    <w:uiPriority w:val="99"/>
    <w:semiHidden/>
    <w:unhideWhenUsed/>
    <w:rsid w:val="00FC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C74B4"/>
  </w:style>
  <w:style w:type="character" w:styleId="nfase">
    <w:name w:val="Emphasis"/>
    <w:basedOn w:val="Fontepargpadro"/>
    <w:uiPriority w:val="20"/>
    <w:qFormat/>
    <w:rsid w:val="00FC74B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C74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-sciencedirect-com.ez16.periodicos.capes.gov.br/science/article/pii/S1319562X1500163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1743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dcterms:created xsi:type="dcterms:W3CDTF">2016-10-10T18:28:00Z</dcterms:created>
  <dcterms:modified xsi:type="dcterms:W3CDTF">2016-10-21T18:09:00Z</dcterms:modified>
</cp:coreProperties>
</file>