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759F7" w14:textId="77777777" w:rsidR="004E562B" w:rsidRPr="0031581C" w:rsidRDefault="004E562B" w:rsidP="004E562B">
      <w:pPr>
        <w:spacing w:after="0" w:line="259" w:lineRule="auto"/>
        <w:ind w:left="0" w:right="11" w:firstLine="0"/>
        <w:jc w:val="center"/>
      </w:pPr>
      <w:r w:rsidRPr="0031581C">
        <w:rPr>
          <w:b/>
        </w:rPr>
        <w:t>ANEXO III</w:t>
      </w:r>
    </w:p>
    <w:p w14:paraId="07135112" w14:textId="77777777" w:rsidR="004E562B" w:rsidRPr="0031581C" w:rsidRDefault="004E562B" w:rsidP="004E562B">
      <w:pPr>
        <w:spacing w:after="0" w:line="240" w:lineRule="auto"/>
        <w:ind w:left="0" w:right="11" w:firstLine="0"/>
      </w:pPr>
    </w:p>
    <w:p w14:paraId="0B19DF28" w14:textId="77777777" w:rsidR="004E562B" w:rsidRPr="0031581C" w:rsidRDefault="004E562B" w:rsidP="004E562B">
      <w:pPr>
        <w:spacing w:after="0" w:line="240" w:lineRule="auto"/>
        <w:ind w:left="0" w:right="11" w:firstLine="0"/>
      </w:pPr>
    </w:p>
    <w:p w14:paraId="7A92BD2C" w14:textId="77777777" w:rsidR="004E562B" w:rsidRPr="0031581C" w:rsidRDefault="004E562B" w:rsidP="004E562B">
      <w:pPr>
        <w:spacing w:after="0" w:line="240" w:lineRule="auto"/>
        <w:ind w:left="0" w:right="11"/>
        <w:jc w:val="center"/>
      </w:pPr>
      <w:r w:rsidRPr="0031581C">
        <w:rPr>
          <w:b/>
        </w:rPr>
        <w:t>PROGRAMA DA PROVA DE CONHECIMENTO DA ÁREA</w:t>
      </w:r>
    </w:p>
    <w:p w14:paraId="6A70314D" w14:textId="77777777" w:rsidR="004E562B" w:rsidRPr="0031581C" w:rsidRDefault="004E562B" w:rsidP="004E562B">
      <w:pPr>
        <w:spacing w:after="0" w:line="240" w:lineRule="auto"/>
        <w:ind w:left="0" w:right="11" w:firstLine="0"/>
      </w:pPr>
      <w:r w:rsidRPr="0031581C">
        <w:rPr>
          <w:b/>
          <w:sz w:val="26"/>
        </w:rPr>
        <w:t xml:space="preserve"> </w:t>
      </w:r>
    </w:p>
    <w:p w14:paraId="6D203B99" w14:textId="77777777" w:rsidR="004E562B" w:rsidRPr="0031581C" w:rsidRDefault="004E562B" w:rsidP="004E562B">
      <w:pPr>
        <w:spacing w:after="0" w:line="240" w:lineRule="auto"/>
        <w:ind w:left="0" w:right="11" w:firstLine="0"/>
      </w:pPr>
      <w:r w:rsidRPr="0031581C">
        <w:rPr>
          <w:b/>
          <w:sz w:val="26"/>
        </w:rPr>
        <w:t xml:space="preserve"> </w:t>
      </w:r>
    </w:p>
    <w:p w14:paraId="089B5A9D" w14:textId="77777777" w:rsidR="004E562B" w:rsidRPr="0031581C" w:rsidRDefault="004E562B" w:rsidP="004E562B">
      <w:pPr>
        <w:spacing w:after="0" w:line="240" w:lineRule="auto"/>
        <w:ind w:left="0" w:right="11" w:firstLine="0"/>
      </w:pPr>
      <w:r w:rsidRPr="0031581C">
        <w:rPr>
          <w:b/>
          <w:sz w:val="28"/>
        </w:rPr>
        <w:t xml:space="preserve"> </w:t>
      </w:r>
    </w:p>
    <w:p w14:paraId="4AF00097" w14:textId="77777777" w:rsidR="004E562B" w:rsidRPr="0031581C" w:rsidRDefault="004E562B" w:rsidP="004E562B">
      <w:pPr>
        <w:spacing w:after="0" w:line="240" w:lineRule="auto"/>
        <w:ind w:left="0" w:right="11"/>
      </w:pPr>
      <w:r w:rsidRPr="0031581C">
        <w:t xml:space="preserve">FAVRET-SAADA, Jeanne (2005). </w:t>
      </w:r>
      <w:r w:rsidRPr="0031581C">
        <w:rPr>
          <w:rFonts w:ascii="Arial" w:eastAsia="Arial" w:hAnsi="Arial" w:cs="Arial"/>
          <w:b/>
        </w:rPr>
        <w:t>“</w:t>
      </w:r>
      <w:r w:rsidRPr="0031581C">
        <w:t xml:space="preserve">Ser afetado”, in Cadernos de Campo, n.13, pp. 155-161. </w:t>
      </w:r>
    </w:p>
    <w:p w14:paraId="74538C99" w14:textId="77777777" w:rsidR="004E562B" w:rsidRDefault="004E562B" w:rsidP="004E562B">
      <w:pPr>
        <w:spacing w:after="0" w:line="240" w:lineRule="auto"/>
        <w:ind w:left="0" w:right="11"/>
      </w:pPr>
    </w:p>
    <w:p w14:paraId="4445D16D" w14:textId="77777777" w:rsidR="004E562B" w:rsidRDefault="004E562B" w:rsidP="004E562B">
      <w:pPr>
        <w:spacing w:after="0" w:line="240" w:lineRule="auto"/>
        <w:ind w:left="0" w:right="11"/>
      </w:pPr>
      <w:r w:rsidRPr="0031581C">
        <w:t xml:space="preserve">GEERTZ, Clifford, 2008. "Uma Descrição Densa: Por uma Teoria Interpretativa da Cultura", pp. 3-21; in A interpretação das culturas, Rio de Janeiro: LTC Ed. </w:t>
      </w:r>
    </w:p>
    <w:p w14:paraId="45802893" w14:textId="77777777" w:rsidR="004E562B" w:rsidRDefault="004E562B" w:rsidP="004E562B">
      <w:pPr>
        <w:spacing w:after="0" w:line="240" w:lineRule="auto"/>
        <w:ind w:left="0" w:right="11"/>
      </w:pPr>
    </w:p>
    <w:p w14:paraId="60A17168" w14:textId="77777777" w:rsidR="004E562B" w:rsidRPr="003A14D9" w:rsidRDefault="004E562B" w:rsidP="004E562B">
      <w:pPr>
        <w:spacing w:after="0" w:line="240" w:lineRule="auto"/>
        <w:ind w:left="0" w:right="11"/>
      </w:pPr>
      <w:r w:rsidRPr="003A14D9">
        <w:t xml:space="preserve">MUNANGA, </w:t>
      </w:r>
      <w:proofErr w:type="spellStart"/>
      <w:r w:rsidRPr="003A14D9">
        <w:t>Kabengele</w:t>
      </w:r>
      <w:proofErr w:type="spellEnd"/>
      <w:r w:rsidRPr="003A14D9">
        <w:t>. “Por que ensinar a história da África e do negro no Brasil de hoje?”, Revista do Instituto de Estudos Brasileiros, n.62, pp. 20-31, 2015.</w:t>
      </w:r>
    </w:p>
    <w:p w14:paraId="2C88931A" w14:textId="77777777" w:rsidR="004E562B" w:rsidRPr="0031581C" w:rsidRDefault="004E562B" w:rsidP="004E562B">
      <w:pPr>
        <w:spacing w:after="0" w:line="240" w:lineRule="auto"/>
        <w:ind w:left="0" w:right="11"/>
      </w:pPr>
    </w:p>
    <w:p w14:paraId="0E800AA4" w14:textId="77777777" w:rsidR="004E562B" w:rsidRPr="0031581C" w:rsidRDefault="004E562B" w:rsidP="004E562B">
      <w:pPr>
        <w:spacing w:after="0" w:line="240" w:lineRule="auto"/>
        <w:ind w:left="0" w:right="11"/>
      </w:pPr>
      <w:r w:rsidRPr="0031581C">
        <w:t xml:space="preserve">STRATHERN, Marilyn. “O efeito etnográfico”, pp. 345-407, in: O Efeito etnográfico e outros ensaios, São Paulo: </w:t>
      </w:r>
      <w:proofErr w:type="spellStart"/>
      <w:r w:rsidRPr="0031581C">
        <w:t>CosacNaify</w:t>
      </w:r>
      <w:proofErr w:type="spellEnd"/>
      <w:r w:rsidRPr="0031581C">
        <w:t xml:space="preserve">, 2014. </w:t>
      </w:r>
    </w:p>
    <w:p w14:paraId="6124DFE9" w14:textId="77777777" w:rsidR="004E562B" w:rsidRPr="0031581C" w:rsidRDefault="004E562B" w:rsidP="004E562B">
      <w:pPr>
        <w:spacing w:after="0" w:line="240" w:lineRule="auto"/>
        <w:ind w:left="0" w:right="11" w:firstLine="0"/>
      </w:pPr>
    </w:p>
    <w:p w14:paraId="5EAEDF89" w14:textId="77777777" w:rsidR="004E562B" w:rsidRPr="0031581C" w:rsidRDefault="004E562B" w:rsidP="004E562B">
      <w:pPr>
        <w:spacing w:after="0" w:line="240" w:lineRule="auto"/>
        <w:ind w:left="0" w:right="11" w:firstLine="0"/>
      </w:pPr>
    </w:p>
    <w:p w14:paraId="75C26834" w14:textId="77777777" w:rsidR="004E562B" w:rsidRPr="0031581C" w:rsidRDefault="004E562B" w:rsidP="004E562B">
      <w:pPr>
        <w:spacing w:after="0" w:line="240" w:lineRule="auto"/>
        <w:ind w:left="0" w:right="11" w:firstLine="0"/>
      </w:pPr>
    </w:p>
    <w:p w14:paraId="6E9CD0B8" w14:textId="2EA1BD54" w:rsidR="004E562B" w:rsidRDefault="004E562B" w:rsidP="004E562B">
      <w:pPr>
        <w:spacing w:after="0" w:line="240" w:lineRule="auto"/>
        <w:ind w:left="0" w:right="11" w:firstLine="0"/>
      </w:pPr>
    </w:p>
    <w:sectPr w:rsidR="004E56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64D4B"/>
    <w:multiLevelType w:val="hybridMultilevel"/>
    <w:tmpl w:val="191C9998"/>
    <w:lvl w:ilvl="0" w:tplc="D5942422">
      <w:start w:val="1"/>
      <w:numFmt w:val="bullet"/>
      <w:lvlText w:val="•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4E4700">
      <w:start w:val="1"/>
      <w:numFmt w:val="bullet"/>
      <w:lvlText w:val="o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38A5C2">
      <w:start w:val="1"/>
      <w:numFmt w:val="bullet"/>
      <w:lvlText w:val="▪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4DC52">
      <w:start w:val="1"/>
      <w:numFmt w:val="bullet"/>
      <w:lvlText w:val="•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AEE5D4">
      <w:start w:val="1"/>
      <w:numFmt w:val="bullet"/>
      <w:lvlText w:val="o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18BE62">
      <w:start w:val="1"/>
      <w:numFmt w:val="bullet"/>
      <w:lvlText w:val="▪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6205DC">
      <w:start w:val="1"/>
      <w:numFmt w:val="bullet"/>
      <w:lvlText w:val="•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BE1DCE">
      <w:start w:val="1"/>
      <w:numFmt w:val="bullet"/>
      <w:lvlText w:val="o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58E56E">
      <w:start w:val="1"/>
      <w:numFmt w:val="bullet"/>
      <w:lvlText w:val="▪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62B"/>
    <w:rsid w:val="004E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A1A0A"/>
  <w15:chartTrackingRefBased/>
  <w15:docId w15:val="{96F06DC5-71E8-42A4-90BC-B4C1F226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62B"/>
    <w:pPr>
      <w:spacing w:after="5" w:line="250" w:lineRule="auto"/>
      <w:ind w:left="10" w:right="47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505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Makson</dc:creator>
  <cp:keywords/>
  <dc:description/>
  <cp:lastModifiedBy>Makson</cp:lastModifiedBy>
  <cp:revision>1</cp:revision>
  <dcterms:created xsi:type="dcterms:W3CDTF">2021-08-23T16:52:00Z</dcterms:created>
  <dcterms:modified xsi:type="dcterms:W3CDTF">2021-08-23T16:52:00Z</dcterms:modified>
</cp:coreProperties>
</file>