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- TABELA PARA AVALIAÇÃO DO CURRÍCULO LATTES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O/as candidato/as devem enviar no momento de inscrição no SIGAA um único arquivo contendo: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3" w:right="0" w:hanging="3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pastas nomeadas como indicado abaixo com os documentos (em pdf) de cada seção (cada pasta correspondendo a uma das tabelas de pontuação no item 3):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2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2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EXPERIENCIA PROFISSIONAL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2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DE PESQUISA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2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PRODUCAO ACADEMICA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2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DE EXTENSAO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3" w:right="0" w:hanging="3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documentos comprobatórios devem ser nomeados observando, para cada quesito, a ordem e o «nome do documento anexado » em cada tabela abaixo. Exemplos: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2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pasta TITULAÇAO, arquivos nomeados T1a, T1b, T1c,, etc. são arquivos que comprovam a “Média do Histórico Escolar” – se for anexado apenas um arquivo ele deve ser nomeado T1a.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2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pasta EXPERIENCIA PROFISSIONAL, arquivos nomeados EP1a; EP1b, etc são arquivos que comprovam “docência no ensino fundamental”.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3" w:right="0" w:hanging="3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tabelas abaixo devem estar preenchidas de forma a conter na coluna “Nome do documento anexado” apenas os nomes de arquivos que foram anexados como comprovante pelo/a candidato/a (o PPGA fornecerá um documento em word com as tabelas para facilitar o preenchimento aos/as que solicitarem pelo e-mail: secretaria.ppga@ufpe.br).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– TITULAÇÃO (PESO 3):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557.0" w:type="dxa"/>
        <w:tblLayout w:type="fixed"/>
        <w:tblLook w:val="0600"/>
      </w:tblPr>
      <w:tblGrid>
        <w:gridCol w:w="4395"/>
        <w:gridCol w:w="1559"/>
        <w:gridCol w:w="1559"/>
        <w:gridCol w:w="1559"/>
        <w:tblGridChange w:id="0">
          <w:tblGrid>
            <w:gridCol w:w="4395"/>
            <w:gridCol w:w="1559"/>
            <w:gridCol w:w="1559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267"/>
              </w:tabs>
              <w:spacing w:after="10" w:before="93" w:lineRule="auto"/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Atividades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267"/>
              </w:tabs>
              <w:spacing w:after="10" w:before="93" w:lineRule="auto"/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 Máxima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tabs>
                <w:tab w:val="left" w:leader="none" w:pos="267"/>
              </w:tabs>
              <w:spacing w:after="10" w:before="9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do (s) documento(s) anexado(s)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left" w:leader="none" w:pos="267"/>
              </w:tabs>
              <w:spacing w:after="10" w:before="9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Uso da Comissão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267"/>
              </w:tabs>
              <w:spacing w:after="10" w:before="93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Média do Histórico Escolar (escala de 0 a 10)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T1a, T1b, T1c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Especialização em Antropologia e áreas afins (0,5 pontos para cada especialização)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T2a, T2b, T2c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Especialização em outras áreas (0,3 pontos para cada especialização)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T3a, T3b, T3c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267"/>
              </w:tabs>
              <w:spacing w:after="10" w:before="93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Disciplinas em cursos de pós-graduação na área do Programa (0,1 ponto para cada disciplina)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T4a, T4b, T4c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267"/>
              </w:tabs>
              <w:spacing w:after="10" w:before="93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Mestrado em outras áreas (1,0 ponto por mestrado)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T5a, T5b, T5c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EXPERIÊNCIA PROFISSIONAL (PESO 1):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557.0" w:type="dxa"/>
        <w:tblLayout w:type="fixed"/>
        <w:tblLook w:val="0600"/>
      </w:tblPr>
      <w:tblGrid>
        <w:gridCol w:w="4395"/>
        <w:gridCol w:w="1559"/>
        <w:gridCol w:w="1559"/>
        <w:gridCol w:w="1559"/>
        <w:tblGridChange w:id="0">
          <w:tblGrid>
            <w:gridCol w:w="4395"/>
            <w:gridCol w:w="1559"/>
            <w:gridCol w:w="1559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Atividades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 Máxima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do (s) documento(s) anexado(s)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Uso da Comissão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Docência no ensino fundamental (0,2 pontos por semestre)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EP1a, EP1b, EP1c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Docência no ensino médio em sociologia e áreas afins (0,5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pontos por semestre)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EP2a, EP2b, EP2c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Docência no ensino superior em Antropologia ou áreas afins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(0,2 pontos por cada 30 horas)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EP3a, EP3b, EP3c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Profissional na área do Programa ou em áreas afins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(pesquisador, fiscal, perito, etc.) (0,5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EP4a, EP4b, EP4c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Consultoria em projetos de pesquisa, ensino e consultoria (0,5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EP5a, EP5b, EP5c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Monitoria (0,5 por semestre)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EP6a, EP6b, EP6c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Outras atividades (0,2 pontos para cada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EP7a, EP7b, EP7c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ATIVIDADES DE PESQUISA (PESO 2,5)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0.0" w:type="dxa"/>
        <w:jc w:val="left"/>
        <w:tblInd w:w="557.0" w:type="dxa"/>
        <w:tblLayout w:type="fixed"/>
        <w:tblLook w:val="0600"/>
      </w:tblPr>
      <w:tblGrid>
        <w:gridCol w:w="4419"/>
        <w:gridCol w:w="1567"/>
        <w:gridCol w:w="1567"/>
        <w:gridCol w:w="1567"/>
        <w:tblGridChange w:id="0">
          <w:tblGrid>
            <w:gridCol w:w="4419"/>
            <w:gridCol w:w="1567"/>
            <w:gridCol w:w="1567"/>
            <w:gridCol w:w="1567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Atividades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 Máxima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do (s) documento(s) anexado(s)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Uso da Comissão</w:t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Estágio voluntário em projeto de pesquisa, mínimo 120 horas (0,5 pontos para cada estágio)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AP1a, AP1b, AP1c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Bolsa de Iniciação Científica ou similar (0,5 pontos por semestre)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AP2a, AP2b, AP2c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Aluno de Iniciação Científica como voluntário (0,5 pontos por semestre)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AP3a, AP3b, AP3c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Bolsa de aperfeiçoamento ou similar (1 pontos por semestre)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AP4a, AP4b, AP4c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Outras atividades de pesquisa relevantes (0,2 pontos por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AP5a, AP5b, AP5c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em projeto de pesquisa aprovado por instâncias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pertinentes como graduado (0,5 pontos para cada ano)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AP6a, AP6b, AP6c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PRODUÇÃO ACADÊMICA (PESO 2,5):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Ind w:w="557.0" w:type="dxa"/>
        <w:tblLayout w:type="fixed"/>
        <w:tblLook w:val="0600"/>
      </w:tblPr>
      <w:tblGrid>
        <w:gridCol w:w="4395"/>
        <w:gridCol w:w="1559"/>
        <w:gridCol w:w="1559"/>
        <w:gridCol w:w="1559"/>
        <w:tblGridChange w:id="0">
          <w:tblGrid>
            <w:gridCol w:w="4395"/>
            <w:gridCol w:w="1559"/>
            <w:gridCol w:w="1559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Atividades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 Máxima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do (s) documento(s) anexado(s)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Uso da Comissão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Apresentação de trabalhos/resumos em congressos de estudantes (0,5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PA1a, PA1b, PA1c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Apresentação de trabalhos/resumos em congressos profissionais locais/regionais (0,5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PA2a, PA2b, PA2c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Apresentação de trabalhos/resumos em congressos profissionais nacionais e/ou internacionais (0,5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PA3a, PA3b, PA3c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Participação em congressos profissionais locais, regionais, nacionais, ou internacionais (0,2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PA4a, PA4b, PA4c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Publicação de trabalhos completos em anais de congresso nacional e/ou internacional (0,5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PA5a, PA5b, PA5c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Publicação em revista nacional/internacional inclusa no Qualis/CAPES (0,5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PA6a, PA6b, PA6c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Publicação em revista nacional/internacional sem Qualis/CAPES e produção áudio visual (0,2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PA7a, PA7b, PA7c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Publicação de livros e/ou capítulos de livros (0,5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PA8a, PA8b, PA8c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Outras atividades pertinentes (ex.: prêmios científicos) (0,2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PA9a, PA9b, PA9c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5 - ATIVIDADES DE EXTENSÃO (PESO 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72.0" w:type="dxa"/>
        <w:jc w:val="left"/>
        <w:tblInd w:w="557.0" w:type="dxa"/>
        <w:tblLayout w:type="fixed"/>
        <w:tblLook w:val="0600"/>
      </w:tblPr>
      <w:tblGrid>
        <w:gridCol w:w="4395"/>
        <w:gridCol w:w="1559"/>
        <w:gridCol w:w="1559"/>
        <w:gridCol w:w="1559"/>
        <w:tblGridChange w:id="0">
          <w:tblGrid>
            <w:gridCol w:w="4395"/>
            <w:gridCol w:w="1559"/>
            <w:gridCol w:w="1559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Atividades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 Máxima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do (s) documento(s) anexado(s)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Uso da Comissão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Participação em congressos e simpósios de Extensão (0,5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AE1a, AE1b, AE1c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Minicurso (mínimo 12h), como aluno (0,5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AE2a, AE2b, AE2c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Participação em cursos com média duração (min. 40h) (0,5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AE3a, AE3b, AE3c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Palestrante/Monitor em eventos científicos e de extensão locais, minicursos. (0,5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AE4a, AE4b, AE4c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Participação em atividades de extensão (0,5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AE5a, AE5b, AE5c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Participação em comissão organizadora de eventos científicos/Extensão (Feiras de Ciências, congressos, etc.) (0,5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AE6a, AE6b, AE6c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Participação em projeto registrado de Extensão (0,2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AE7a, AE7b, AE7c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Monitoria em projeto registrado de Extensão (0,2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AE8a, AE8b, AE8c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>
          <w:color w:val="000000"/>
          <w:u w:val="no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4" w:top="1134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6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1462" w:hanging="262.000000000000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393" w:hanging="39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)"/>
      <w:lvlJc w:val="left"/>
      <w:pPr>
        <w:ind w:left="753" w:hanging="39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)"/>
      <w:lvlJc w:val="left"/>
      <w:pPr>
        <w:ind w:left="1113" w:hanging="39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)"/>
      <w:lvlJc w:val="left"/>
      <w:pPr>
        <w:ind w:left="1473" w:hanging="392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)"/>
      <w:lvlJc w:val="left"/>
      <w:pPr>
        <w:ind w:left="1833" w:hanging="39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)"/>
      <w:lvlJc w:val="left"/>
      <w:pPr>
        <w:ind w:left="2193" w:hanging="39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)"/>
      <w:lvlJc w:val="left"/>
      <w:pPr>
        <w:ind w:left="2553" w:hanging="39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)"/>
      <w:lvlJc w:val="left"/>
      <w:pPr>
        <w:ind w:left="2913" w:hanging="39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)"/>
      <w:lvlJc w:val="left"/>
      <w:pPr>
        <w:ind w:left="3273" w:hanging="393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26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1462" w:hanging="262.000000000000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table" w:styleId="TableNormal1" w:customStyle="1">
    <w:name w:val="Table Normal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CorpsA" w:customStyle="1">
    <w:name w:val="Corps A"/>
    <w:pPr>
      <w:widowControl w:val="0"/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  <w:lang w:val="de-DE"/>
      <w14:textOutline w14:cap="flat" w14:cmpd="sng" w14:w="12700" w14:algn="ctr">
        <w14:noFill/>
        <w14:prstDash w14:val="solid"/>
        <w14:miter w14:lim="400000"/>
      </w14:textOutline>
    </w:rPr>
  </w:style>
  <w:style w:type="character" w:styleId="Aucun" w:customStyle="1">
    <w:name w:val="Aucun"/>
    <w:rPr>
      <w:lang w:val="de-DE"/>
    </w:rPr>
  </w:style>
  <w:style w:type="numbering" w:styleId="Lettres" w:customStyle="1">
    <w:name w:val="Lettres"/>
    <w:pPr>
      <w:numPr>
        <w:numId w:val="1"/>
      </w:numPr>
    </w:pPr>
  </w:style>
  <w:style w:type="character" w:styleId="AucunA" w:customStyle="1">
    <w:name w:val="Aucun A"/>
    <w:basedOn w:val="Aucun"/>
    <w:rPr>
      <w:lang w:val="de-DE"/>
    </w:rPr>
  </w:style>
  <w:style w:type="numbering" w:styleId="Style1import" w:customStyle="1">
    <w:name w:val="Style 1 importé"/>
    <w:pPr>
      <w:numPr>
        <w:numId w:val="3"/>
      </w:numPr>
    </w:pPr>
  </w:style>
  <w:style w:type="paragraph" w:styleId="Corps" w:customStyle="1">
    <w:name w:val="Corps"/>
    <w:rPr>
      <w:rFonts w:cs="Arial Unicode MS"/>
      <w:color w:val="000000"/>
      <w:sz w:val="24"/>
      <w:szCs w:val="24"/>
      <w:u w:color="000000"/>
      <w:lang w:val="en-US"/>
      <w14:textOutline w14:cap="flat" w14:cmpd="sng" w14:algn="ctr">
        <w14:noFill/>
        <w14:prstDash w14:val="solid"/>
        <w14:bevel/>
      </w14:textOutline>
    </w:rPr>
  </w:style>
  <w:style w:type="numbering" w:styleId="Style1import0" w:customStyle="1">
    <w:name w:val="Style 1 importé.0"/>
    <w:pPr>
      <w:numPr>
        <w:numId w:val="6"/>
      </w:numPr>
    </w:pPr>
  </w:style>
  <w:style w:type="paragraph" w:styleId="Pardfaut" w:customStyle="1">
    <w:name w:val="Par défaut"/>
    <w:pPr>
      <w:spacing w:before="160"/>
    </w:pPr>
    <w:rPr>
      <w:rFonts w:ascii="Helvetica Neue" w:cs="Arial Unicode MS" w:hAnsi="Helvetica Neue"/>
      <w:color w:val="000000"/>
      <w:sz w:val="24"/>
      <w:szCs w:val="24"/>
      <w:u w:color="000000"/>
      <w:lang w:val="pt-PT"/>
      <w14:textOutline w14:cap="flat" w14:cmpd="sng" w14:w="12700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Aucun"/>
    <w:rPr>
      <w:rFonts w:ascii="Times New Roman" w:cs="Times New Roman" w:eastAsia="Times New Roman" w:hAnsi="Times New Roman"/>
      <w:outline w:val="0"/>
      <w:color w:val="0000ff"/>
      <w:sz w:val="24"/>
      <w:szCs w:val="24"/>
      <w:u w:color="0000ff" w:val="single"/>
      <w:lang w:val="fr-FR"/>
    </w:rPr>
  </w:style>
  <w:style w:type="numbering" w:styleId="Nombres" w:customStyle="1">
    <w:name w:val="Nombres"/>
    <w:pPr>
      <w:numPr>
        <w:numId w:val="9"/>
      </w:numPr>
    </w:pPr>
  </w:style>
  <w:style w:type="numbering" w:styleId="Puce" w:customStyle="1">
    <w:name w:val="Puce"/>
    <w:pPr>
      <w:numPr>
        <w:numId w:val="11"/>
      </w:numPr>
    </w:pPr>
  </w:style>
  <w:style w:type="character" w:styleId="Hyperlink1" w:customStyle="1">
    <w:name w:val="Hyperlink.1"/>
    <w:basedOn w:val="Aucun"/>
    <w:rPr>
      <w:rFonts w:ascii="Times New Roman" w:cs="Times New Roman" w:eastAsia="Times New Roman" w:hAnsi="Times New Roman"/>
      <w:outline w:val="0"/>
      <w:color w:val="000000"/>
      <w:u w:color="000000" w:val="single"/>
      <w:lang w:val="en-US"/>
    </w:rPr>
  </w:style>
  <w:style w:type="numbering" w:styleId="Lettres0" w:customStyle="1">
    <w:name w:val="Lettres.0"/>
    <w:pPr>
      <w:numPr>
        <w:numId w:val="13"/>
      </w:numPr>
    </w:pPr>
  </w:style>
  <w:style w:type="numbering" w:styleId="Tiret" w:customStyle="1">
    <w:name w:val="Tiret"/>
    <w:pPr>
      <w:numPr>
        <w:numId w:val="15"/>
      </w:numPr>
    </w:pPr>
  </w:style>
  <w:style w:type="numbering" w:styleId="Tiret0" w:customStyle="1">
    <w:name w:val="Tiret.0"/>
    <w:pPr>
      <w:numPr>
        <w:numId w:val="17"/>
      </w:numPr>
    </w:pPr>
  </w:style>
  <w:style w:type="numbering" w:styleId="Style2import" w:customStyle="1">
    <w:name w:val="Style 2 importé"/>
    <w:pPr>
      <w:numPr>
        <w:numId w:val="22"/>
      </w:numPr>
    </w:pPr>
  </w:style>
  <w:style w:type="paragraph" w:styleId="Styledetableau2" w:customStyle="1">
    <w:name w:val="Style de tableau 2"/>
    <w:rPr>
      <w:rFonts w:ascii="Helvetica Neue" w:cs="Arial Unicode MS" w:hAnsi="Helvetica Neue"/>
      <w:color w:val="000000"/>
      <w:u w:color="000000"/>
      <w:lang w:val="pt-PT"/>
      <w14:textOutline w14:cap="flat" w14:cmpd="sng" w14:w="12700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 w:val="1"/>
    <w:rsid w:val="00C40235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</w:rPr>
  </w:style>
  <w:style w:type="paragraph" w:styleId="PargrafodaLista">
    <w:name w:val="List Paragraph"/>
    <w:basedOn w:val="Normal"/>
    <w:uiPriority w:val="34"/>
    <w:qFormat w:val="1"/>
    <w:rsid w:val="00C40235"/>
    <w:pPr>
      <w:ind w:left="720"/>
      <w:contextualSpacing w:val="1"/>
    </w:pPr>
  </w:style>
  <w:style w:type="character" w:styleId="im" w:customStyle="1">
    <w:name w:val="im"/>
    <w:basedOn w:val="Fontepargpadro"/>
    <w:rsid w:val="006E66C3"/>
  </w:style>
  <w:style w:type="character" w:styleId="MenoPendente">
    <w:name w:val="Unresolved Mention"/>
    <w:basedOn w:val="Fontepargpadro"/>
    <w:uiPriority w:val="99"/>
    <w:semiHidden w:val="1"/>
    <w:unhideWhenUsed w:val="1"/>
    <w:rsid w:val="0076210E"/>
    <w:rPr>
      <w:color w:val="605e5c"/>
      <w:shd w:color="auto" w:fill="e1dfdd" w:val="clear"/>
    </w:rPr>
  </w:style>
  <w:style w:type="character" w:styleId="gi" w:customStyle="1">
    <w:name w:val="gi"/>
    <w:basedOn w:val="Fontepargpadro"/>
    <w:rsid w:val="00865AAF"/>
  </w:style>
  <w:style w:type="character" w:styleId="HiperlinkVisitado">
    <w:name w:val="FollowedHyperlink"/>
    <w:basedOn w:val="Fontepargpadro"/>
    <w:uiPriority w:val="99"/>
    <w:semiHidden w:val="1"/>
    <w:unhideWhenUsed w:val="1"/>
    <w:rsid w:val="00044A23"/>
    <w:rPr>
      <w:color w:val="ff00ff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A17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A178C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A178C"/>
    <w:rPr>
      <w:lang w:eastAsia="en-US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A178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A178C"/>
    <w:rPr>
      <w:b w:val="1"/>
      <w:bCs w:val="1"/>
      <w:lang w:eastAsia="en-US" w:val="en-US"/>
    </w:rPr>
  </w:style>
  <w:style w:type="paragraph" w:styleId="LO-normal" w:customStyle="1">
    <w:name w:val="LO-normal"/>
    <w:qFormat w:val="1"/>
    <w:rsid w:val="00070729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uppressAutoHyphens w:val="1"/>
    </w:pPr>
    <w:rPr>
      <w:rFonts w:cs="Lucida Sans" w:eastAsia="NSimSun"/>
      <w:sz w:val="22"/>
      <w:szCs w:val="22"/>
      <w:bdr w:color="auto" w:space="0" w:sz="0"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jQJYADXUD0vbpiCfA55n5Sa9A==">CgMxLjA4AHIhMWNkOFdtRmdENUlxN05BNmMybVNNamdLS3dBLWRSYlR0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2024-08-29T23:21:00Z</dcterms:created>
  <dc:creator>Julio Neto</dc:creator>
</cp:coreProperties>
</file>