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996440" cy="1171575"/>
            <wp:effectExtent l="19050" t="0" r="3810" b="0"/>
            <wp:wrapSquare wrapText="bothSides"/>
            <wp:docPr id="12" name="Imagem 11" descr="logo_proe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1" descr="logo_proexc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b/>
        </w:rPr>
      </w:pPr>
      <w:r>
        <w:rPr>
          <w:b/>
          <w:sz w:val="24"/>
          <w:szCs w:val="24"/>
        </w:rPr>
        <w:t>CHAMADA PÚBLICA: RECEBIMENTO DE PROPOSTAS ARTÍSTICAS PARA O FÓRUM UNIVERSIDADE-DIVERSIDADE DO ENEXC 2016</w:t>
      </w:r>
      <w:r>
        <w:rPr>
          <w:b/>
        </w:rPr>
        <w:br w:type="textWrapping" w:clear="all"/>
      </w:r>
    </w:p>
    <w:p>
      <w:pPr>
        <w:spacing w:line="360" w:lineRule="auto"/>
        <w:jc w:val="both"/>
      </w:pPr>
      <w:r>
        <w:rPr>
          <w:sz w:val="24"/>
          <w:szCs w:val="24"/>
        </w:rPr>
        <w:tab/>
      </w:r>
      <w:r>
        <w:t xml:space="preserve">A </w:t>
      </w:r>
      <w:r>
        <w:rPr>
          <w:b/>
        </w:rPr>
        <w:t>Pró-Reitoria de Extensão e Cultura (PROExC)</w:t>
      </w:r>
      <w:r>
        <w:t xml:space="preserve">, por meio da </w:t>
      </w:r>
      <w:r>
        <w:rPr>
          <w:b/>
        </w:rPr>
        <w:t>Diretoria de Cultura</w:t>
      </w:r>
      <w:r>
        <w:t xml:space="preserve">, convida discentes, docentes, técnico-administrativos, alunos egressos e demais interessados a apresentarem propostas para a realização de intervenções e de apresentações artísticas a fim de compor a programação do </w:t>
      </w:r>
      <w:r>
        <w:rPr>
          <w:b/>
        </w:rPr>
        <w:t>Fórum Universidade-Diversidade</w:t>
      </w:r>
      <w:r>
        <w:t xml:space="preserve">, do II Encontro de Extensão e Cultura (ENExC), a ser realizado nos dias 23 e 24 de novembro, no Centro de Educação (CE), no Campus Recife da Universidade Federal de Pernambuco. </w:t>
      </w:r>
    </w:p>
    <w:p>
      <w:pPr>
        <w:spacing w:line="360" w:lineRule="auto"/>
        <w:jc w:val="both"/>
      </w:pPr>
      <w:r>
        <w:tab/>
      </w:r>
      <w:r>
        <w:t>Cada proposta deverá se relacionar mais diretamente com algum dos eixos temáticos enfocados no evento: 1) Religião e fé; 2) Gênero e orientação sexual; 3) Etnia e Raça; 4) Política e Ideologia. Serão escolhidas até três propostas para cada eixo temático. As apresentações/intervenções deverão ter duração máxima de 15 (quinze) minutos. O formato é aberto, dentro das linguagens artísticas, como a literatura, a música, o teatro, a dança, as artes visuais, o cinema, a performance, e outras – ou nas misturas dessas linguagens. Após as apresentações/intervenções, haverá um debate, coordenado pelo mediador de cada eixo temático do Fórum. Um proponente pode submeter quantas ações quiser, para todos os eixos temáticos.</w:t>
      </w:r>
    </w:p>
    <w:p>
      <w:pPr>
        <w:spacing w:line="360" w:lineRule="auto"/>
        <w:jc w:val="both"/>
      </w:pPr>
      <w:r>
        <w:tab/>
      </w:r>
      <w:r>
        <w:t xml:space="preserve"> A seleção será feita pela equipe de Cultura da ProExC, em parceria com os próprios proponentes. Os seguintes critérios serão observados na seleção: a relevância artístico-conceitual da proposta e a sua viabilidade logística. Trabalhando com a idéia de curadoria compartilhada, propõe-se a seguinte sistemática de avaliação das propostas: cada proponente, cuja ação for considerada viável pela Diretoria de Cultura, avaliará todas as demais propostas </w:t>
      </w:r>
      <w:r>
        <w:rPr>
          <w:lang w:val="pt-BR"/>
        </w:rPr>
        <w:t>submetidas</w:t>
      </w:r>
      <w:bookmarkStart w:id="0" w:name="_GoBack"/>
      <w:bookmarkEnd w:id="0"/>
      <w:r>
        <w:t xml:space="preserve"> para cada eixo temático, por meio de notas, de zero a dez, considerando apenas o critério de relevância artístico-conceitual. O proponente que não participar do processo de avaliação, cumprindo atentamente os prazos, será eliminado do certame. Somadas todas as notas, serão apontadas as três propostas escolhidas para cada fórum. </w:t>
      </w:r>
    </w:p>
    <w:p>
      <w:pPr>
        <w:spacing w:line="360" w:lineRule="auto"/>
        <w:jc w:val="both"/>
      </w:pPr>
      <w:r>
        <w:tab/>
      </w:r>
      <w:r>
        <w:t>O Fórum Universidade-Diversidade terá lugar no auditório do Centro de Educação, podendo, todavia, receber ações que ocupem outros espaços do centro e do seu entorno. Não haverá recursos financeiros para os proponentes. Certificados de participação e de menção honrosa serão emitidos.</w:t>
      </w:r>
    </w:p>
    <w:p>
      <w:pPr>
        <w:spacing w:line="360" w:lineRule="auto"/>
        <w:jc w:val="both"/>
      </w:pPr>
      <w:r>
        <w:tab/>
      </w:r>
      <w:r>
        <w:t xml:space="preserve">As inscrições são gratuitas e acontecerão entre o período de 14 de setembro de 2016 a 9 de outubro de 2016, por meio do email cultura@ufpe.br. O proponente deverá encaminhar um email, sob o título “Inscrição no Fórum Universidade-Diversidade”, contendo em anexo a ficha de inscrição (formulário anexo) devidamente preenchida. </w:t>
      </w:r>
    </w:p>
    <w:p>
      <w:pPr>
        <w:spacing w:line="360" w:lineRule="auto"/>
        <w:ind w:firstLine="708"/>
        <w:jc w:val="both"/>
      </w:pPr>
      <w:r>
        <w:t>As regras para a seleção de propostas ao Fórum Universidade-Diversidade são as seguintes:</w:t>
      </w:r>
    </w:p>
    <w:p>
      <w:pPr>
        <w:spacing w:line="360" w:lineRule="auto"/>
        <w:ind w:firstLine="708"/>
        <w:jc w:val="both"/>
      </w:pPr>
      <w:r>
        <w:t xml:space="preserve"> 1.  A equipe da Diretoria de Cultura/Proexc examinará cada ficha de inscrição, a fim de verificar a viabilidade logística das propostas;</w:t>
      </w:r>
    </w:p>
    <w:p>
      <w:pPr>
        <w:spacing w:line="360" w:lineRule="auto"/>
        <w:ind w:firstLine="708"/>
        <w:jc w:val="both"/>
      </w:pPr>
      <w:r>
        <w:t>2. Nesta etapa, poderão ser sugeridas pequenas adaptações em algumas das propostas, com o objetivo de torná-las viáveis, conforme as limitações técnicas do evento;</w:t>
      </w:r>
    </w:p>
    <w:p>
      <w:pPr>
        <w:spacing w:line="360" w:lineRule="auto"/>
        <w:ind w:firstLine="708"/>
        <w:jc w:val="both"/>
      </w:pPr>
      <w:r>
        <w:t>3.  Em cada eixo temático, todas as propostas consideradas viáveis serão enviadas para todos os proponentes, que as avaliarão, individualmente, atribuindo-lhes nota, de zero a dez, à luz de um único critério: relevância artístico-conceitual;</w:t>
      </w:r>
    </w:p>
    <w:p>
      <w:pPr>
        <w:spacing w:line="360" w:lineRule="auto"/>
        <w:ind w:firstLine="708"/>
        <w:jc w:val="both"/>
      </w:pPr>
      <w:r>
        <w:t>4.  O proponente não avaliará a(s) sua(s) própria(s) proposta(s);</w:t>
      </w:r>
    </w:p>
    <w:p>
      <w:pPr>
        <w:spacing w:line="360" w:lineRule="auto"/>
        <w:ind w:firstLine="708"/>
        <w:jc w:val="both"/>
      </w:pPr>
      <w:r>
        <w:t>5. A fim de minimizar o efeito de possíveis tentativas de direcionamento na pontuação, serão descartadas a nota mais alta e a nota mais baixa dada a cada uma das propostas;</w:t>
      </w:r>
    </w:p>
    <w:p>
      <w:pPr>
        <w:spacing w:line="360" w:lineRule="auto"/>
        <w:ind w:firstLine="708"/>
        <w:jc w:val="both"/>
      </w:pPr>
      <w:r>
        <w:t>6.  Somadas todas as notas válidas, as propostas que obtiverem as maiores pontuações serão as escolhidas (até três delas) para cada eixo temático do Fórum;</w:t>
      </w:r>
    </w:p>
    <w:p>
      <w:pPr>
        <w:spacing w:line="360" w:lineRule="auto"/>
        <w:ind w:firstLine="708"/>
        <w:jc w:val="both"/>
      </w:pPr>
      <w:r>
        <w:t>7. Os seguintes critérios de desempate serão adotados, nesta ordem: a) a nota que cada um dos proponentes empatados deu à proposta do outro; e b) ordem de inscrição (com vantagem para a proposta primeiramente submetida).</w:t>
      </w:r>
    </w:p>
    <w:p>
      <w:pPr>
        <w:spacing w:line="360" w:lineRule="auto"/>
        <w:jc w:val="both"/>
      </w:pPr>
      <w:r>
        <w:tab/>
      </w:r>
      <w:r>
        <w:t>Eventuais dúvidas e esclarecimentos deverão ser tratados pelo e-mail cultura@ufpe.br ou pelo telefone (81)2126-8642.</w:t>
      </w:r>
      <w:r>
        <w:tab/>
      </w:r>
    </w:p>
    <w:p>
      <w:pPr>
        <w:spacing w:line="360" w:lineRule="auto"/>
        <w:ind w:firstLine="708"/>
        <w:jc w:val="both"/>
        <w:rPr>
          <w:rFonts w:cs="Tahoma"/>
          <w:b/>
          <w:bCs/>
          <w:caps/>
          <w:sz w:val="24"/>
          <w:szCs w:val="24"/>
        </w:rPr>
      </w:pPr>
      <w:r>
        <w:rPr>
          <w:b/>
        </w:rPr>
        <w:t>Atenção:</w:t>
      </w:r>
      <w:r>
        <w:t xml:space="preserve"> no Fórum Universidade-Diversidade, enquadram-se </w:t>
      </w:r>
      <w:r>
        <w:rPr>
          <w:b/>
        </w:rPr>
        <w:t>apresentações e intervenções artísticas</w:t>
      </w:r>
      <w:r>
        <w:t>, que diferem dos modelos usuais de uma exposição acadêmico-científica: comunicação oral, pôster, relato de experiências ou artigos. As apresentações nesses formatos devem se inscrever na chamada geral do ENEXC.</w:t>
      </w:r>
    </w:p>
    <w:p>
      <w:pPr>
        <w:jc w:val="center"/>
        <w:rPr>
          <w:rFonts w:cs="Tahoma"/>
          <w:b/>
          <w:bCs/>
          <w:caps/>
          <w:sz w:val="24"/>
          <w:szCs w:val="24"/>
        </w:rPr>
      </w:pPr>
      <w:r>
        <w:rPr>
          <w:rFonts w:cs="Tahoma"/>
          <w:b/>
          <w:bCs/>
          <w:caps/>
          <w:sz w:val="24"/>
          <w:szCs w:val="24"/>
        </w:rPr>
        <w:t>ANEXO I</w:t>
      </w:r>
    </w:p>
    <w:p>
      <w:pPr>
        <w:rPr>
          <w:rFonts w:cs="Tahoma"/>
          <w:b/>
          <w:bCs/>
          <w:caps/>
          <w:sz w:val="32"/>
          <w:szCs w:val="32"/>
        </w:rPr>
      </w:pPr>
    </w:p>
    <w:p>
      <w:pPr>
        <w:rPr>
          <w:rFonts w:cs="Tahoma"/>
          <w:b/>
          <w:bCs/>
          <w:caps/>
          <w:sz w:val="32"/>
          <w:szCs w:val="32"/>
        </w:rPr>
      </w:pPr>
      <w:r>
        <w:rPr>
          <w:rFonts w:cs="Tahoma"/>
          <w:b/>
          <w:bCs/>
          <w:caps/>
          <w:sz w:val="32"/>
          <w:szCs w:val="32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3396615</wp:posOffset>
            </wp:positionH>
            <wp:positionV relativeFrom="paragraph">
              <wp:posOffset>-233045</wp:posOffset>
            </wp:positionV>
            <wp:extent cx="2228850" cy="1400175"/>
            <wp:effectExtent l="19050" t="0" r="0" b="0"/>
            <wp:wrapSquare wrapText="bothSides"/>
            <wp:docPr id="1" name="Imagem 0" descr="logo_proe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0" descr="logo_proexc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caps/>
          <w:sz w:val="32"/>
          <w:szCs w:val="32"/>
        </w:rPr>
        <w:t>Propostas artísticas para o fórum universidade-Diversidade do enexc 2016</w:t>
      </w:r>
    </w:p>
    <w:p>
      <w:pPr>
        <w:rPr>
          <w:b/>
          <w:caps/>
          <w:sz w:val="32"/>
          <w:szCs w:val="32"/>
        </w:rPr>
      </w:pPr>
    </w:p>
    <w:p>
      <w:pPr>
        <w:jc w:val="center"/>
        <w:rPr>
          <w:rFonts w:cs="Tahoma"/>
          <w:b/>
          <w:bCs/>
          <w:caps/>
          <w:sz w:val="32"/>
          <w:szCs w:val="32"/>
        </w:rPr>
      </w:pPr>
    </w:p>
    <w:p>
      <w:pPr>
        <w:jc w:val="center"/>
        <w:rPr>
          <w:b/>
          <w:caps/>
          <w:sz w:val="32"/>
          <w:szCs w:val="32"/>
        </w:rPr>
      </w:pPr>
      <w:r>
        <w:rPr>
          <w:rFonts w:cs="Tahoma"/>
          <w:b/>
          <w:bCs/>
          <w:caps/>
          <w:sz w:val="32"/>
          <w:szCs w:val="32"/>
        </w:rPr>
        <w:t>Ficha de inscrição</w:t>
      </w:r>
    </w:p>
    <w:tbl>
      <w:tblPr>
        <w:tblStyle w:val="13"/>
        <w:tblpPr w:leftFromText="141" w:rightFromText="141" w:vertAnchor="text" w:horzAnchor="margin" w:tblpXSpec="center" w:tblpY="581"/>
        <w:tblW w:w="10225" w:type="dxa"/>
        <w:tblInd w:w="0" w:type="dxa"/>
        <w:tblBorders>
          <w:top w:val="single" w:color="000000" w:sz="6" w:space="0"/>
          <w:left w:val="single" w:color="000000" w:sz="6" w:space="0"/>
          <w:bottom w:val="single" w:color="auto" w:sz="4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225"/>
      </w:tblGrid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6" w:hRule="atLeast"/>
        </w:trPr>
        <w:tc>
          <w:tcPr>
            <w:tcW w:w="10225" w:type="dxa"/>
            <w:shd w:val="clear" w:color="auto" w:fill="FFFFFF" w:themeFill="background1"/>
          </w:tcPr>
          <w:p>
            <w:pPr>
              <w:shd w:val="pct20" w:color="auto" w:fill="auto"/>
              <w:tabs>
                <w:tab w:val="left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Eixo Temático: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8" w:hRule="atLeast"/>
        </w:trPr>
        <w:tc>
          <w:tcPr>
            <w:tcW w:w="1022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) Religião e fé     ( ) Gênero e orientação sexual    ( ) Etnia e Raça   ( ) Política e ideologia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6" w:hRule="atLeast"/>
        </w:trPr>
        <w:tc>
          <w:tcPr>
            <w:tcW w:w="10225" w:type="dxa"/>
          </w:tcPr>
          <w:p>
            <w:pPr>
              <w:shd w:val="pct20" w:color="auto" w:fill="auto"/>
              <w:tabs>
                <w:tab w:val="left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da proposta: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8" w:hRule="atLeast"/>
        </w:trPr>
        <w:tc>
          <w:tcPr>
            <w:tcW w:w="1022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8" w:hRule="atLeast"/>
        </w:trPr>
        <w:tc>
          <w:tcPr>
            <w:tcW w:w="10225" w:type="dxa"/>
          </w:tcPr>
          <w:p>
            <w:pPr>
              <w:shd w:val="pct20" w:color="auto" w:fill="auto"/>
              <w:tabs>
                <w:tab w:val="left" w:pos="9356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>
              <w:rPr>
                <w:rStyle w:val="16"/>
                <w:rFonts w:cs="Arial" w:asciiTheme="minorHAnsi" w:hAnsiTheme="minorHAnsi"/>
                <w:b/>
                <w:sz w:val="24"/>
                <w:szCs w:val="24"/>
              </w:rPr>
              <w:t>Identificação do(s) proponente(s):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8" w:hRule="atLeast"/>
        </w:trPr>
        <w:tc>
          <w:tcPr>
            <w:tcW w:w="10225" w:type="dxa"/>
          </w:tcPr>
          <w:p>
            <w:pPr>
              <w:tabs>
                <w:tab w:val="left" w:pos="18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Nome(s) completo(s):</w:t>
            </w:r>
          </w:p>
          <w:p>
            <w:pPr>
              <w:tabs>
                <w:tab w:val="left" w:pos="1830"/>
              </w:tabs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8" w:hRule="atLeast"/>
        </w:trPr>
        <w:tc>
          <w:tcPr>
            <w:tcW w:w="10225" w:type="dxa"/>
          </w:tcPr>
          <w:p>
            <w:pPr>
              <w:tabs>
                <w:tab w:val="left" w:pos="18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E-mail(s):</w:t>
            </w:r>
          </w:p>
          <w:p>
            <w:pPr>
              <w:tabs>
                <w:tab w:val="left" w:pos="1830"/>
              </w:tabs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8" w:hRule="atLeast"/>
        </w:trPr>
        <w:tc>
          <w:tcPr>
            <w:tcW w:w="10225" w:type="dxa"/>
          </w:tcPr>
          <w:p>
            <w:pPr>
              <w:tabs>
                <w:tab w:val="left" w:pos="18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Telefones:</w:t>
            </w:r>
          </w:p>
          <w:p>
            <w:pPr>
              <w:tabs>
                <w:tab w:val="left" w:pos="1830"/>
              </w:tabs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8" w:hRule="atLeast"/>
        </w:trPr>
        <w:tc>
          <w:tcPr>
            <w:tcW w:w="10225" w:type="dxa"/>
          </w:tcPr>
          <w:p>
            <w:pPr>
              <w:tabs>
                <w:tab w:val="left" w:pos="18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Breve(s) currículo(s) (máximo de cinco linhas para cada proponente)</w:t>
            </w:r>
            <w:r>
              <w:rPr>
                <w:rStyle w:val="11"/>
                <w:b/>
                <w:sz w:val="24"/>
                <w:szCs w:val="24"/>
              </w:rPr>
              <w:footnoteReference w:id="0"/>
            </w:r>
            <w:r>
              <w:rPr>
                <w:b/>
                <w:sz w:val="24"/>
                <w:szCs w:val="24"/>
              </w:rPr>
              <w:t>:</w:t>
            </w:r>
          </w:p>
          <w:p>
            <w:pPr>
              <w:tabs>
                <w:tab w:val="left" w:pos="6435"/>
              </w:tabs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1830"/>
              </w:tabs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1830"/>
              </w:tabs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1830"/>
              </w:tabs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1830"/>
              </w:tabs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1830"/>
              </w:tabs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1830"/>
              </w:tabs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1830"/>
              </w:tabs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1830"/>
              </w:tabs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1830"/>
              </w:tabs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8" w:hRule="atLeast"/>
        </w:trPr>
        <w:tc>
          <w:tcPr>
            <w:tcW w:w="10225" w:type="dxa"/>
          </w:tcPr>
          <w:p>
            <w:pPr>
              <w:shd w:val="clear" w:color="auto" w:fill="BFBFBF"/>
              <w:tabs>
                <w:tab w:val="left" w:pos="18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Breve descrição da proposta (máximo de 10 linhas – imagens podem ser anexadas):</w:t>
            </w:r>
          </w:p>
          <w:p>
            <w:pPr>
              <w:tabs>
                <w:tab w:val="left" w:pos="1830"/>
              </w:tabs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1830"/>
              </w:tabs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1830"/>
              </w:tabs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1830"/>
              </w:tabs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1830"/>
              </w:tabs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1830"/>
              </w:tabs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1830"/>
              </w:tabs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1830"/>
              </w:tabs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1830"/>
              </w:tabs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1830"/>
              </w:tabs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1830"/>
              </w:tabs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1830"/>
              </w:tabs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1830"/>
              </w:tabs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1830"/>
              </w:tabs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1830"/>
              </w:tabs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1830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8" w:hRule="atLeast"/>
        </w:trPr>
        <w:tc>
          <w:tcPr>
            <w:tcW w:w="10225" w:type="dxa"/>
          </w:tcPr>
          <w:p>
            <w:pPr>
              <w:shd w:val="pct20" w:color="auto" w:fill="auto"/>
              <w:tabs>
                <w:tab w:val="left" w:pos="9356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Objetivos da proposta (máximo de oito linhas):</w:t>
            </w:r>
          </w:p>
          <w:p>
            <w:pPr>
              <w:tabs>
                <w:tab w:val="left" w:pos="9356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 geral:</w:t>
            </w:r>
          </w:p>
          <w:p>
            <w:pPr>
              <w:tabs>
                <w:tab w:val="left" w:pos="9356"/>
              </w:tabs>
              <w:spacing w:line="360" w:lineRule="auto"/>
              <w:rPr>
                <w:sz w:val="24"/>
                <w:szCs w:val="24"/>
              </w:rPr>
            </w:pPr>
          </w:p>
          <w:p>
            <w:pPr>
              <w:tabs>
                <w:tab w:val="left" w:pos="9356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Objetivos específicos:</w:t>
            </w:r>
          </w:p>
          <w:p>
            <w:pPr>
              <w:tabs>
                <w:tab w:val="left" w:pos="9356"/>
              </w:tabs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77" w:hRule="atLeast"/>
        </w:trPr>
        <w:tc>
          <w:tcPr>
            <w:tcW w:w="10225" w:type="dxa"/>
          </w:tcPr>
          <w:p>
            <w:pPr>
              <w:shd w:val="pct20" w:color="auto" w:fill="auto"/>
              <w:tabs>
                <w:tab w:val="left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Justificativa (máximo de dez linhas):</w:t>
            </w:r>
          </w:p>
          <w:p>
            <w:pPr>
              <w:tabs>
                <w:tab w:val="left" w:pos="9356"/>
              </w:tabs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9356"/>
              </w:tabs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9356"/>
              </w:tabs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9356"/>
              </w:tabs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9356"/>
              </w:tabs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9356"/>
              </w:tabs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9356"/>
              </w:tabs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9356"/>
              </w:tabs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9356"/>
              </w:tabs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9356"/>
              </w:tabs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13" w:hRule="atLeast"/>
        </w:trPr>
        <w:tc>
          <w:tcPr>
            <w:tcW w:w="10225" w:type="dxa"/>
            <w:shd w:val="clear" w:color="auto" w:fill="FFFFFF"/>
          </w:tcPr>
          <w:p>
            <w:pPr>
              <w:shd w:val="pct20" w:color="auto" w:fill="auto"/>
              <w:tabs>
                <w:tab w:val="left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Logística para a realização da proposta (montagem, equipamentos necessários, segurança, acompanhamento, desmontagem e retirada de material):</w:t>
            </w:r>
          </w:p>
          <w:p>
            <w:pPr>
              <w:tabs>
                <w:tab w:val="left" w:pos="9356"/>
              </w:tabs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9356"/>
              </w:tabs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9356"/>
              </w:tabs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9356"/>
              </w:tabs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9356"/>
              </w:tabs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9356"/>
              </w:tabs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9356"/>
              </w:tabs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9356"/>
              </w:tabs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9356"/>
              </w:tabs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9356"/>
              </w:tabs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9356"/>
              </w:tabs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9356"/>
              </w:tabs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9356"/>
              </w:tabs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9356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>
      <w:pPr>
        <w:pStyle w:val="2"/>
        <w:rPr>
          <w:rFonts w:cs="Arial" w:asciiTheme="minorHAnsi" w:hAnsiTheme="minorHAnsi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Recife, ____ de ____________ de 2016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(Assinatura do proponente)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id="0">
    <w:p>
      <w:pPr>
        <w:pStyle w:val="7"/>
      </w:pPr>
      <w:r>
        <w:rPr>
          <w:rStyle w:val="11"/>
        </w:rPr>
        <w:footnoteRef/>
      </w:r>
      <w:r>
        <w:rPr>
          <w:rFonts w:ascii="Arial" w:hAnsi="Arial"/>
        </w:rPr>
        <w:t>Comprovações e detalhamentos poderão ser solicitados nas etapas seguintes do exame da proposta.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3DDD"/>
    <w:rsid w:val="00013DDD"/>
    <w:rsid w:val="00084875"/>
    <w:rsid w:val="00087311"/>
    <w:rsid w:val="000A138A"/>
    <w:rsid w:val="000B53FF"/>
    <w:rsid w:val="001618C5"/>
    <w:rsid w:val="001A2D52"/>
    <w:rsid w:val="002771B7"/>
    <w:rsid w:val="002A7F38"/>
    <w:rsid w:val="002D35CA"/>
    <w:rsid w:val="002F5442"/>
    <w:rsid w:val="00341ED4"/>
    <w:rsid w:val="00367FEF"/>
    <w:rsid w:val="003F657D"/>
    <w:rsid w:val="00444B11"/>
    <w:rsid w:val="00465690"/>
    <w:rsid w:val="00471DA1"/>
    <w:rsid w:val="004A4B8A"/>
    <w:rsid w:val="004A5E00"/>
    <w:rsid w:val="00522DC6"/>
    <w:rsid w:val="005841B0"/>
    <w:rsid w:val="005D353B"/>
    <w:rsid w:val="00605CEA"/>
    <w:rsid w:val="00642C5D"/>
    <w:rsid w:val="006524DE"/>
    <w:rsid w:val="006D202C"/>
    <w:rsid w:val="006F7B11"/>
    <w:rsid w:val="007B3C7D"/>
    <w:rsid w:val="00815CB2"/>
    <w:rsid w:val="00845044"/>
    <w:rsid w:val="00871FF9"/>
    <w:rsid w:val="008847EF"/>
    <w:rsid w:val="008C02D8"/>
    <w:rsid w:val="008D2305"/>
    <w:rsid w:val="008D7F64"/>
    <w:rsid w:val="008E46E5"/>
    <w:rsid w:val="009006E7"/>
    <w:rsid w:val="009033C4"/>
    <w:rsid w:val="00942A55"/>
    <w:rsid w:val="0096276C"/>
    <w:rsid w:val="00983EAA"/>
    <w:rsid w:val="009C4C45"/>
    <w:rsid w:val="009F290E"/>
    <w:rsid w:val="00A62DDF"/>
    <w:rsid w:val="00AC6327"/>
    <w:rsid w:val="00B26FBA"/>
    <w:rsid w:val="00B34AAD"/>
    <w:rsid w:val="00B46A48"/>
    <w:rsid w:val="00B80D65"/>
    <w:rsid w:val="00BD596A"/>
    <w:rsid w:val="00C16A7A"/>
    <w:rsid w:val="00C56C92"/>
    <w:rsid w:val="00C81B68"/>
    <w:rsid w:val="00CE069A"/>
    <w:rsid w:val="00D1320A"/>
    <w:rsid w:val="00D9654A"/>
    <w:rsid w:val="00DC5F77"/>
    <w:rsid w:val="00DD3120"/>
    <w:rsid w:val="00DE33BA"/>
    <w:rsid w:val="00E05D9F"/>
    <w:rsid w:val="00E42730"/>
    <w:rsid w:val="00E7638D"/>
    <w:rsid w:val="00E83251"/>
    <w:rsid w:val="00E962A6"/>
    <w:rsid w:val="00ED15A3"/>
    <w:rsid w:val="00F240CF"/>
    <w:rsid w:val="00F26789"/>
    <w:rsid w:val="00F35B8B"/>
    <w:rsid w:val="00F5770E"/>
    <w:rsid w:val="00F8462F"/>
    <w:rsid w:val="00FB401B"/>
    <w:rsid w:val="00FE0904"/>
    <w:rsid w:val="00FF05E4"/>
    <w:rsid w:val="14697F9C"/>
  </w:rsids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0"/>
    </w:rPr>
  </w:style>
  <w:style w:type="character" w:default="1" w:styleId="9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annotation text"/>
    <w:basedOn w:val="1"/>
    <w:link w:val="18"/>
    <w:unhideWhenUsed/>
    <w:uiPriority w:val="99"/>
    <w:pPr>
      <w:spacing w:line="240" w:lineRule="auto"/>
    </w:pPr>
    <w:rPr>
      <w:sz w:val="20"/>
      <w:szCs w:val="20"/>
    </w:rPr>
  </w:style>
  <w:style w:type="paragraph" w:styleId="5">
    <w:name w:val="annotation subject"/>
    <w:basedOn w:val="4"/>
    <w:next w:val="4"/>
    <w:link w:val="19"/>
    <w:unhideWhenUsed/>
    <w:uiPriority w:val="99"/>
    <w:rPr>
      <w:b/>
      <w:bCs/>
    </w:rPr>
  </w:style>
  <w:style w:type="paragraph" w:styleId="6">
    <w:name w:val="footer"/>
    <w:basedOn w:val="1"/>
    <w:link w:val="2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note text"/>
    <w:basedOn w:val="1"/>
    <w:link w:val="17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8">
    <w:name w:val="header"/>
    <w:basedOn w:val="1"/>
    <w:link w:val="2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styleId="10">
    <w:name w:val="annotation reference"/>
    <w:basedOn w:val="9"/>
    <w:unhideWhenUsed/>
    <w:uiPriority w:val="99"/>
    <w:rPr>
      <w:sz w:val="16"/>
      <w:szCs w:val="16"/>
    </w:rPr>
  </w:style>
  <w:style w:type="character" w:styleId="11">
    <w:name w:val="footnote reference"/>
    <w:unhideWhenUsed/>
    <w:qFormat/>
    <w:uiPriority w:val="99"/>
    <w:rPr>
      <w:vertAlign w:val="superscript"/>
    </w:rPr>
  </w:style>
  <w:style w:type="character" w:styleId="12">
    <w:name w:val="Hyperlink"/>
    <w:basedOn w:val="9"/>
    <w:unhideWhenUsed/>
    <w:uiPriority w:val="99"/>
    <w:rPr>
      <w:color w:val="0000FF" w:themeColor="hyperlink"/>
      <w:u w:val="single"/>
    </w:rPr>
  </w:style>
  <w:style w:type="character" w:customStyle="1" w:styleId="14">
    <w:name w:val="Texto de balão Char"/>
    <w:basedOn w:val="9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15">
    <w:name w:val="Título 1 Char"/>
    <w:basedOn w:val="9"/>
    <w:link w:val="2"/>
    <w:uiPriority w:val="0"/>
    <w:rPr>
      <w:rFonts w:ascii="Times New Roman" w:hAnsi="Times New Roman" w:eastAsia="Times New Roman" w:cs="Times New Roman"/>
      <w:sz w:val="24"/>
      <w:szCs w:val="20"/>
    </w:rPr>
  </w:style>
  <w:style w:type="character" w:customStyle="1" w:styleId="16">
    <w:name w:val="style101"/>
    <w:uiPriority w:val="0"/>
    <w:rPr>
      <w:rFonts w:hint="default" w:ascii="Tahoma" w:hAnsi="Tahoma" w:cs="Tahoma"/>
      <w:sz w:val="20"/>
      <w:szCs w:val="20"/>
    </w:rPr>
  </w:style>
  <w:style w:type="character" w:customStyle="1" w:styleId="17">
    <w:name w:val="Texto de nota de rodapé Char"/>
    <w:basedOn w:val="9"/>
    <w:link w:val="7"/>
    <w:semiHidden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18">
    <w:name w:val="Texto de comentário Char"/>
    <w:basedOn w:val="9"/>
    <w:link w:val="4"/>
    <w:semiHidden/>
    <w:uiPriority w:val="99"/>
    <w:rPr>
      <w:sz w:val="20"/>
      <w:szCs w:val="20"/>
    </w:rPr>
  </w:style>
  <w:style w:type="character" w:customStyle="1" w:styleId="19">
    <w:name w:val="Assunto do comentário Char"/>
    <w:basedOn w:val="18"/>
    <w:link w:val="5"/>
    <w:semiHidden/>
    <w:uiPriority w:val="99"/>
    <w:rPr>
      <w:b/>
      <w:bCs/>
      <w:sz w:val="20"/>
      <w:szCs w:val="20"/>
    </w:rPr>
  </w:style>
  <w:style w:type="character" w:customStyle="1" w:styleId="20">
    <w:name w:val="Cabeçalho Char"/>
    <w:basedOn w:val="9"/>
    <w:link w:val="8"/>
    <w:semiHidden/>
    <w:uiPriority w:val="99"/>
  </w:style>
  <w:style w:type="character" w:customStyle="1" w:styleId="21">
    <w:name w:val="Rodapé Char"/>
    <w:basedOn w:val="9"/>
    <w:link w:val="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952F8F-FE2B-4BE0-9FDF-F40373DB14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835</Words>
  <Characters>4509</Characters>
  <Lines>37</Lines>
  <Paragraphs>10</Paragraphs>
  <TotalTime>0</TotalTime>
  <ScaleCrop>false</ScaleCrop>
  <LinksUpToDate>false</LinksUpToDate>
  <CharactersWithSpaces>5334</CharactersWithSpaces>
  <Application>WPS Office_10.1.0.5656_F1E327BC-269C-435d-A152-05C5408002CA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2016-09-12T13:26:00Z</dcterms:created>
  <dc:creator>Thalles</dc:creator>
  <cp:lastModifiedBy>abdon</cp:lastModifiedBy>
  <cp:lastPrinted>2016-09-12T16:08:00Z</cp:lastPrinted>
  <dcterms:modified xsi:type="dcterms:W3CDTF">2016-09-23T21:15:33Z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1033-10.1.0.5656</vt:lpwstr>
  </property>
</Properties>
</file>