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47" w:rsidRPr="00D07647" w:rsidRDefault="00D07647" w:rsidP="00D07647">
      <w:pPr>
        <w:widowControl/>
        <w:spacing w:before="120"/>
        <w:jc w:val="center"/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</w:pPr>
      <w:r w:rsidRPr="00D07647"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>MODALIDADE TOMADA DE PREÇOS E CONCORRÊNCIA</w:t>
      </w:r>
    </w:p>
    <w:p w:rsidR="00D07647" w:rsidRPr="00D07647" w:rsidRDefault="00D07647" w:rsidP="00D07647">
      <w:pPr>
        <w:widowControl/>
        <w:spacing w:before="120"/>
        <w:jc w:val="center"/>
        <w:rPr>
          <w:rFonts w:ascii="Ecofont_Spranq_eco_Sans" w:hAnsi="Ecofont_Spranq_eco_Sans" w:cs="Arial"/>
          <w:color w:val="auto"/>
          <w:lang w:val="pt-BR" w:eastAsia="pt-BR" w:bidi="ar-SA"/>
        </w:rPr>
      </w:pPr>
      <w:r w:rsidRPr="00D07647"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>LISTA DE VERIFICAÇÃO – LV04</w:t>
      </w:r>
    </w:p>
    <w:p w:rsidR="00D07647" w:rsidRPr="00D07647" w:rsidRDefault="00D07647" w:rsidP="00D07647">
      <w:pPr>
        <w:widowControl/>
        <w:spacing w:before="120"/>
        <w:jc w:val="both"/>
        <w:rPr>
          <w:rFonts w:ascii="Ecofont_Spranq_eco_Sans" w:hAnsi="Ecofont_Spranq_eco_Sans" w:cs="Arial"/>
          <w:color w:val="auto"/>
          <w:lang w:val="pt-BR" w:eastAsia="pt-BR" w:bidi="ar-SA"/>
        </w:rPr>
      </w:pPr>
      <w:r w:rsidRPr="00D07647">
        <w:rPr>
          <w:rFonts w:ascii="Ecofont_Spranq_eco_Sans" w:hAnsi="Ecofont_Spranq_eco_Sans" w:cs="Arial"/>
          <w:color w:val="auto"/>
          <w:sz w:val="20"/>
          <w:lang w:val="pt-BR" w:eastAsia="pt-BR" w:bidi="ar-SA"/>
        </w:rPr>
        <w:t>São os atos administrativos e documentos previstos na lei nº 8.666/93, necessários à instrução do procedimento licitatório nas modalidades Tomada de Preços e Concorrência:</w:t>
      </w:r>
    </w:p>
    <w:p w:rsidR="00D07647" w:rsidRPr="00D07647" w:rsidRDefault="00D07647" w:rsidP="00D07647">
      <w:pPr>
        <w:widowControl/>
        <w:spacing w:before="120"/>
        <w:jc w:val="both"/>
        <w:rPr>
          <w:rFonts w:ascii="Ecofont_Spranq_eco_Sans" w:hAnsi="Ecofont_Spranq_eco_Sans" w:cs="Arial"/>
          <w:b/>
          <w:bCs/>
          <w:color w:val="auto"/>
          <w:sz w:val="22"/>
          <w:szCs w:val="22"/>
          <w:lang w:val="pt-BR" w:eastAsia="pt-BR" w:bidi="ar-SA"/>
        </w:rPr>
      </w:pPr>
      <w:r w:rsidRPr="00D07647"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>Processo</w:t>
      </w:r>
      <w:r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 xml:space="preserve"> nº: ________________________</w:t>
      </w:r>
    </w:p>
    <w:p w:rsidR="00014BC1" w:rsidRPr="00DD446C" w:rsidRDefault="0038324A" w:rsidP="00D07647">
      <w:pPr>
        <w:spacing w:line="560" w:lineRule="exact"/>
        <w:rPr>
          <w:rFonts w:asciiTheme="minorHAnsi" w:hAnsiTheme="minorHAnsi" w:cstheme="minorHAnsi"/>
        </w:rPr>
      </w:pPr>
      <w:r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>Projeto</w:t>
      </w:r>
      <w:r w:rsidR="00D07647" w:rsidRPr="00D07647"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 xml:space="preserve"> (____) </w:t>
      </w:r>
      <w:r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>Obra</w:t>
      </w:r>
      <w:r w:rsidR="00D07647" w:rsidRPr="00D07647"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 xml:space="preserve"> (____) / </w:t>
      </w:r>
      <w:r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 xml:space="preserve">TP (     </w:t>
      </w:r>
      <w:r w:rsidR="00D07647" w:rsidRPr="00D07647"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 xml:space="preserve">)  </w:t>
      </w:r>
      <w:r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 xml:space="preserve">CC (     </w:t>
      </w:r>
      <w:r w:rsidR="00D07647" w:rsidRPr="00D07647">
        <w:rPr>
          <w:rFonts w:ascii="Ecofont_Spranq_eco_Sans" w:hAnsi="Ecofont_Spranq_eco_Sans" w:cs="Arial"/>
          <w:b/>
          <w:bCs/>
          <w:color w:val="auto"/>
          <w:sz w:val="20"/>
          <w:lang w:val="pt-BR" w:eastAsia="pt-BR" w:bidi="ar-SA"/>
        </w:rPr>
        <w:t>)</w:t>
      </w:r>
    </w:p>
    <w:tbl>
      <w:tblPr>
        <w:tblOverlap w:val="never"/>
        <w:tblW w:w="9077" w:type="dxa"/>
        <w:jc w:val="center"/>
        <w:tblInd w:w="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776"/>
        <w:gridCol w:w="851"/>
        <w:gridCol w:w="709"/>
        <w:gridCol w:w="1280"/>
      </w:tblGrid>
      <w:tr w:rsidR="00014BC1" w:rsidRPr="00DD446C" w:rsidTr="0075072A">
        <w:trPr>
          <w:trHeight w:hRule="exact" w:val="470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jc w:val="center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Fonts w:asciiTheme="minorHAnsi" w:hAnsiTheme="minorHAnsi" w:cstheme="minorHAnsi"/>
                <w:color w:val="000000"/>
              </w:rPr>
              <w:t>PROCEDIMENTOS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S/N/ EP ou 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FOLHA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BBA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OBSERVAÇÃO</w:t>
            </w:r>
          </w:p>
        </w:tc>
      </w:tr>
      <w:tr w:rsidR="00014BC1" w:rsidRPr="00DD446C" w:rsidTr="0075072A">
        <w:trPr>
          <w:trHeight w:hRule="exact" w:val="8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O procedimento licitatório foi iniciado com a abertura de processo administrativo devidamente autuado, protocolado e numerado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38,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caput,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da Lei n° 8.666/93, e item 5.1 da Portaria Normativa SLTI/MPOG n° 5, de 19.12.02)?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Todas as folhas do processo estão numeradas e rubricadas?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4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Consta a solicitação/requisição do objeto, elaborada pelo agente ou setor competente (Acórdão 254/2004-Segunda Câmara-TCU)?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4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A autoridade competente justificou a necessidade da contratação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2°,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caput,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e parágrafo único, VII, da Lei n° 9.784/99)?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4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5.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Há previsão de recursos orçamentários, com indicação das respectivas rubricas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(arts.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7°, § 2°, III, 14 e 38,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en-US" w:eastAsia="en-US" w:bidi="en-US"/>
              </w:rPr>
              <w:t xml:space="preserve">caput,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da Lei n° 8.666/93)?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46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6.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Consta a autorização da autoridade competente para a abertura da licitação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38,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caput, da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Lei n° 8.666/93)?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89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7.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Foi efetuada pesquisa, de modo a verificar a compatibilidade dos preços dos bens ou serviços a serem adquiridos com os preços de mercado ou com os fixados por órgão oficial competente, ou ainda SINAPI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15, III e 43, IV da Lei n° 8.666/93 e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3, Decreto 7983/2013)?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9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8.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Há comprovação do recolhimento da Anotação de Responsabilidade Técnica -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do autor do projeto básico e demais documentos técnicos, inclusive das planilhas orçamentárias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10, Decreto 7983/2013 e item 6, inciso I, Nota Técnica n° 42/2016 da PF/UFC)?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68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4BC1" w:rsidRPr="0038324A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>9.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38324A" w:rsidRDefault="0038324A" w:rsidP="007542B8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38324A">
              <w:rPr>
                <w:rStyle w:val="MSGENFONTSTYLENAMETEMPLATEROLENUMBERMSGENFONTSTYLENAMEBYROLETEXT12MSGENFONTSTYLEMODIFERSIZE85"/>
                <w:rFonts w:ascii="Calibri" w:eastAsia="Calibri" w:hAnsi="Calibri" w:cs="Calibri"/>
                <w:color w:val="auto"/>
              </w:rPr>
              <w:t>Consta no processo Termo de Responsabilidade, ou designação/identificação do servidor responsável pela Pesquisa de Preço assinado pelo servidor que pesquisou as propostas?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BC1" w:rsidRPr="0038324A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>10.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BC1" w:rsidRPr="0038324A" w:rsidRDefault="006B00CE" w:rsidP="006B00CE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 xml:space="preserve">A modalidade escolhida está adequada ao </w:t>
            </w:r>
            <w:r w:rsidR="00014BC1"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 xml:space="preserve">valor </w:t>
            </w:r>
            <w:r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>da licitação</w:t>
            </w:r>
            <w:r w:rsidR="00014BC1"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 xml:space="preserve"> </w:t>
            </w:r>
            <w:r w:rsidR="00014BC1"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  <w:lang w:val="pt-BR" w:eastAsia="en-US" w:bidi="en-US"/>
              </w:rPr>
              <w:t xml:space="preserve">(art. </w:t>
            </w:r>
            <w:r w:rsidR="00014BC1"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 xml:space="preserve">23, incisos </w:t>
            </w:r>
            <w:r w:rsidR="00014BC1"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  <w:lang w:val="pt-BR" w:eastAsia="en-US" w:bidi="en-US"/>
              </w:rPr>
              <w:t xml:space="preserve">I </w:t>
            </w:r>
            <w:r w:rsidR="00014BC1"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>e II)?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11.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4BC1" w:rsidRPr="00DD446C" w:rsidRDefault="00014BC1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Para contratação de obras ou serviços: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BBA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466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 w:rsidP="00B4397C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a. Foi elaborado e aprovado o projeto básico pela autoridade competente de forma motivada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(arts.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6°, IX, 7°, §2°, I e 9°, inciso I da Lei n° 8.666/93)?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682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 w:rsidP="00B4397C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b. Constam as listas de verificação destinadas a orientar os fiscais, no que concerne ao Recebimento Provisório e Definitivo, como anexo do projeto básico? (Acórdão 1545/2016 - item 9.2.22.2)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14BC1" w:rsidRPr="00DD446C" w:rsidTr="0075072A">
        <w:trPr>
          <w:trHeight w:hRule="exact" w:val="686"/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14BC1" w:rsidRPr="00DD446C" w:rsidRDefault="00014BC1" w:rsidP="00B4397C">
            <w:pPr>
              <w:pStyle w:val="MSGENFONTSTYLENAMETEMPLATEROLENUMBERMSGENFONTSTYLENAMEBYROLETEXT120"/>
              <w:framePr w:w="9077" w:wrap="notBeside" w:vAnchor="text" w:hAnchor="text" w:xAlign="center" w:y="1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c. Foi elaborado, se for o caso, o projeto executivo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6°, X e 7° II, Lei n° 8.666/93), ou autorizado que seja realizado concomitantemente com a execução dos mesmos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7°, §1°, Lei 8.666/93)?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C1" w:rsidRPr="00DD446C" w:rsidRDefault="00014BC1">
            <w:pPr>
              <w:framePr w:w="9077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tbl>
      <w:tblPr>
        <w:tblW w:w="907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850"/>
        <w:gridCol w:w="709"/>
        <w:gridCol w:w="1276"/>
      </w:tblGrid>
      <w:tr w:rsidR="0085091C" w:rsidRPr="00DD446C" w:rsidTr="0075072A">
        <w:trPr>
          <w:trHeight w:hRule="exact" w:val="1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38324A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 xml:space="preserve">d. Existe orçamento detalhado em planilhas que expressem a composição de todos os custos unitários do objeto, baseado em pesquisa de preços praticados no mercado </w:t>
            </w:r>
            <w:r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  <w:lang w:val="pt-BR" w:eastAsia="en-US" w:bidi="en-US"/>
              </w:rPr>
              <w:t xml:space="preserve">(arts. </w:t>
            </w:r>
            <w:r w:rsidRPr="0038324A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>7°, § 2°, II, e 43, IV da Lei n° 8.666/93), assim como a respectiva pesquisa de preços realizada?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6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e. No Edital ou em seus anexos, há previsão de que a empresa deverá adequar-se as exigências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do 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4° (Capítulo II) da Instrução Normativa SLTI/MPOG n° 01, de 19/01/2010?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8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lastRenderedPageBreak/>
              <w:t>f. Consta no Edital ou em seus anexos que a contratada deverá observar as diretrizes, critérios e procedimentos para a gestão de resíduos da construção civil estabelecidos da Resolução do CONAMA n° 307, de 05/07/2002?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6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g. Consta no Edital ou em seus anexos que a contratada deverá utilizar somente matéria-prima florestal procedente, nos termos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do 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11 do Decreto n° 5.975, de 2006?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11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h. Consta no edital ou em seus anexos a exigência de apresentação de documento comprobatório da procedência legal dos produtos ou subprodutos florestais utilizados em cada etapa da execução contratual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4°, inciso IX, da Instrução Normativa SLTI/MPOG n° 01, de 19/01/2010, e Instrução Normativa IBAMA n° 112, de 21/08/2006)?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133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i. Consta no Edital ou em seus anexos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que, para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as atividades de construção civil enquadradas no Anexo II da Instrução Normativa IBAMA n° 31, de 03/12/2009, só serão admitidas aquelas cujo produto esteja regularmente registrado no Cadastro Federal de Atividades Potencialmente Poluidoras ou Utilizadoras de Recursos Ambientais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17, inciso II, da Lei n° 6.938, de 1981)?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11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j. Consta no Edital ou em seus anexos a exigência da comprovação de que todos os resíduos removidos estão acompanhados do Controle de Transporte de Resíduos (normas da Agência Brasileira de Normas Técnicas - ABNT NBR n°s 15.112, 15.113, 15.114, 15.116, de 2004), sob pena de multa?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k. Consta no Edital ou em seus anexos que a contratada deverá atender ao Manual de Obras Públicas Sustentáveis da UFC?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l. Constitui anexo do edital o Manual de Obras Públicas Sustentáveis da UFC?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8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m. Consta no Edital ou em seus anexos a previsão de que a emissão de poluentes atmosféricos por fontes físicas deve respeitar limites máximos admitidos na Resolução CONAMA n° 382, de 26/12/2006 e legislação correlata, de acordo com a natureza do poluente e o tipo de fonte?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8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n. Consta no Edital ou em seus anexos previsão de que, conforme o caso, o nível de som produzido durante a execução contratual não pode ultrapassar os níveis estabelecidos pela NBR-10.152, nos termos da Resolução CONAMA n° 01, de 03/03/1990?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8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12. Em face do valor estimado do objeto, a participação na licitação é exclusiva para microempresas, empresas de pequeno porte e sociedades cooperativas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48, I, da LC n° 123/06,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6° do Decreto n° 6.204/07 e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34 da Lei n° 11.488/07)?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12.1. Incide uma das exceções previstas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no 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10° do Decreto n° 8.538/15, devidamente justificada, a afastar a exclusividade?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74283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74283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 xml:space="preserve">13. Consta a designação da Comissão de licitação dentro do prazo de validade </w:t>
            </w:r>
            <w:r w:rsidRPr="00D74283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  <w:lang w:val="pt-BR" w:eastAsia="en-US" w:bidi="en-US"/>
              </w:rPr>
              <w:t xml:space="preserve">(art. </w:t>
            </w:r>
            <w:r w:rsidRPr="00D74283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 xml:space="preserve">38, incisos III e </w:t>
            </w:r>
            <w:r w:rsidRPr="00D74283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  <w:lang w:val="pt-BR" w:eastAsia="en-US" w:bidi="en-US"/>
              </w:rPr>
              <w:t xml:space="preserve">art. </w:t>
            </w:r>
            <w:r w:rsidRPr="00D74283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>51 e seus parágrafos)?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center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14. Há análise e aprovação da minuta de edital e seus anexos pela assessoria jurídica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38, parágrafo único, da Lei n° 8.666/93) anexado aos autos?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75072A">
        <w:trPr>
          <w:trHeight w:hRule="exact" w:val="4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14.1. As ressalvas apontadas no parecer foram atendidas ou foi juntado despacho aos autos justificando a não adesão completa do parecer?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014BC1" w:rsidRPr="00DD446C" w:rsidRDefault="00014BC1" w:rsidP="00014BC1">
      <w:pPr>
        <w:framePr w:w="9077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tbl>
      <w:tblPr>
        <w:tblW w:w="907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850"/>
        <w:gridCol w:w="709"/>
        <w:gridCol w:w="1276"/>
      </w:tblGrid>
      <w:tr w:rsidR="0085091C" w:rsidRPr="00DD446C" w:rsidTr="00924436">
        <w:trPr>
          <w:trHeight w:hRule="exact" w:val="67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15. Consta o original do edital, devidamente datado, rubricado em todas as folhas e assinado, alterado de acordo com o parecer técnico da assessoria jurídica ou aprovado pela mesma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§ 1°)?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6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16. O edital indica sucinta e claramente o objeto da licitação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I,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6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lastRenderedPageBreak/>
              <w:t xml:space="preserve">17. O projeto básico e/ou projeto executivo fazem parte do edital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§2°, I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18. O edital faz menção à documentação necessária para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VI da Lei 8666/93):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a. a habilitação jurídica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27, I c/c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28, ambos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b. a qualificação técnica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27, II c/c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30, ambos da LLCA)?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28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c. a qualificação econômico-financeira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27, III c/c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31, todos da LLCA)?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d. a comprovação da regularidade fiscal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27, IV c/c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29, todos da LLCA)?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89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19. O Edital prevê a apresentação de documentos de regularidade fiscal somente para efeito de assinatura do contrato ou determina 5 dias úteis para regularização em caso de restrição na documentação no caso de ME/EPP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(arts.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42 e 45 da LC n° 123/06)?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20. O Edital prevê critério de desempate favorável a M.E, E.P.P e sociedades cooperativas equiparadas (10%)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44 da LC n° 123/06)?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21. O Edital prevê vedação a participação de licitantes que infrinjam ao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9° da Lei 8666/93?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6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22. O edital prevê a possibilidade de qualquer cidadão impugná-lo por irregularidade apresentada no prazo de cinco dias úteis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41, §1°,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68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23. O edital indica a forma de apresentação da proposta comercial, com a indicação precisa de como o valor deve ser ofertado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VI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24. Caso seja necessária a apresentação de garantias, elas estão previstas no edital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56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25. O edital indica os critérios para julgamento das propostas, com disposições claras e parâmetros objetivos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VII)?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26. O rito estabelecido para o recebimento e abertura das propostas está definido no edital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VI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27. O rito estabelecido para julgamento e adjudicação das propostas está estabelecido no edital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43 da LLCA)?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28. Constam no edital as instruções e normas referentes a eventuais recursos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(arts.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XV e 109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29. O edital indica o prazo e as condições para a execução/recebimento do objeto da licitação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40, XVI, LLCA)?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74283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74283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color w:val="auto"/>
              </w:rPr>
              <w:t>30. O edital estabelece as condições para fiscalização e aceite do objeto da licitação?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31. O edital prevê as condições de pagamento?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28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32. A minuta do contrato indica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55 da Lei 8666/93):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a) O objeto da licitação e seus elementos característicos?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b) A vinculação ao edital e à proposta do licitante vencedor?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firstLine="274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c) O regime de execução ou a forma de fornecimento?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014BC1" w:rsidRPr="00DD446C" w:rsidRDefault="00014BC1" w:rsidP="00014BC1">
      <w:pPr>
        <w:framePr w:w="9077" w:wrap="notBeside" w:vAnchor="text" w:hAnchor="text" w:xAlign="center" w:y="1"/>
        <w:rPr>
          <w:rFonts w:asciiTheme="minorHAnsi" w:hAnsiTheme="minorHAnsi" w:cstheme="minorHAnsi"/>
          <w:sz w:val="2"/>
          <w:szCs w:val="2"/>
        </w:rPr>
      </w:pPr>
    </w:p>
    <w:tbl>
      <w:tblPr>
        <w:tblW w:w="907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8"/>
        <w:gridCol w:w="5220"/>
        <w:gridCol w:w="850"/>
        <w:gridCol w:w="709"/>
        <w:gridCol w:w="1276"/>
      </w:tblGrid>
      <w:tr w:rsidR="0085091C" w:rsidRPr="00DD446C" w:rsidTr="00924436">
        <w:trPr>
          <w:trHeight w:hRule="exact"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d)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Previsão do valor do contrato?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e)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As condições de pagamento?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f)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Previsão de retenção tributária?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g)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Os recursos orçamentários necessários para a contratação?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h)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 data de início e de conclusão da sua execução ou da entrega do objeto?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i)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O prazo e condições para recebimento definitivo do objeto?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j)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As obrigações das partes?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k)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Sendo cabível, a garantia oferecida?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l)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As penalidades cabíveis, de acordo com a gravidade das faltas cometidas, garantida a prévia defesa?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m)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Os valores das multas (recomendável indicar um percentual sobre a parcela inadimplida)?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n)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A vigência do contrato e, caso necessário, a indicação da possibilidade de eventuais prorrogações de acordo com 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57, Lei 8.666/93?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Os casos de rescisão contratual e os direitos da Administração havendo a rescisão?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p)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 obrigação do contratado em manter, durante toda a execução de objeto, todas as condições de habilitação e qualificação exigidas na licitação?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q)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Que o objeto poderá sofrer acréscimos e decréscimos de acordo com os limites estabelecidos pelo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65, § 1°, da Lei 8.666/93?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r)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As condições para reajuste dos preços e os critérios de atualização monetária?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s)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Consta como foro competente o foro do órgão promotor para dirimir qualquer questão contratual?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33.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O aviso contendo o resumo do edital foi publicado no DOU e no jornal de grande circulação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21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34.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Foi observado o prazo, entre a divulgação da licitação e a realização do evento, de: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Para os tipos técnica e técnica e preço: 30 dias (tomada de preço) e 45 dias (concorrência pública)?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6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b.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Quando não for do tipo técnica ou técnica e preço: 15 dias (tomada de preço) e 30 dias (concorrência pública); (Lei 8666/93,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21, § 2°, inciso II, alínea b, e inciso III)?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35.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Os documentos necessários à habilitação e as propostas constam no processo e atendem aos critérios estabelecidos no Edital (art.38, IV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36.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Foram rubricados pelos licitantes presentes e pela Comissão todos os documentos e propostas?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en-US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43, §2° da Lei 8.666/93)?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37.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Consta no Relatório da Habilitação manifestação da Comissão quanto a devolução dos envelopes fechados com as propostas dos licitantes inabilitados, desde que não tenha havido recurso ou após sua denegação (Lei 8666/93,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43, incisos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I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e II)?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38.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Foram redigidas as atas, relatórios e deliberações da comissão referentes à habilitação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38, V, LLCA)?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ind w:left="20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39.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Foram observados os prazos para recurso nas fases de habilitação e classificação, se houver (Lei 8666/93,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109, inciso I)?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240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after="220" w:line="216" w:lineRule="exact"/>
              <w:jc w:val="right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lastRenderedPageBreak/>
              <w:t>No caso de ausência de algum dos licitantes no ato em que foi adotada a decisão, a intimação para recursos relativos à habilitação ou inabilitação: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tabs>
                <w:tab w:val="left" w:pos="307"/>
              </w:tabs>
              <w:spacing w:before="220" w:after="220" w:line="188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(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 xml:space="preserve">) foi publicada no DOU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109, inciso I, § 1° da Lei 8.666/93)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tabs>
                <w:tab w:val="left" w:pos="307"/>
                <w:tab w:val="left" w:pos="710"/>
                <w:tab w:val="left" w:pos="1459"/>
                <w:tab w:val="left" w:pos="2731"/>
                <w:tab w:val="left" w:pos="3946"/>
                <w:tab w:val="left" w:pos="4507"/>
                <w:tab w:val="left" w:pos="5467"/>
              </w:tabs>
              <w:spacing w:before="220" w:line="216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(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)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foram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comunicados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diretamente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aos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licitantes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e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tabs>
                <w:tab w:val="left" w:pos="3744"/>
              </w:tabs>
              <w:spacing w:after="220" w:line="216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lavrados em Ata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109, inciso I, §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1° da Lei 8.666/93)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tabs>
                <w:tab w:val="left" w:pos="379"/>
              </w:tabs>
              <w:spacing w:before="220" w:line="216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(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) ocorreu conforme previsto no edital e consta nos autos o comprovante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da intimação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41 da Lei 8.666/93)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682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left="560" w:hanging="38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40. No caso de recurso na fase de habilitação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38, VIM c/c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109, todos da Lei 8666/93):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a) Os recursos foram tempestivos e estão anexados ao processo?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b) Os licitantes apresentaram tempestivamente as suas contra-razões e estas estão anexadas ao processo?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c) Foram redigidos relatórios e deliberações da comissão referentes aos recursos?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center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d) Os resultados finais da habilitação (após julgamento dos recursos) foram publicados no DOU e seus comprovantes foram anexados ao processo?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left="560" w:hanging="38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41. A comissão julgou as propostas de acordo com os critérios de avaliação constantes do edital (Lei 8666/93,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44)?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left="560" w:hanging="38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42. Houve sorteio, no caso de empate, após obedecido o disposto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no, 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3°, § 2°, conforme 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45, § 2° da Lei 8666/93?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left="560" w:hanging="38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43. Foram redigidas as atas, relatórios e deliberações da comissão referentes às propostas comerciais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38, V da Lei 8666/93)?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2194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after="220" w:line="216" w:lineRule="exact"/>
              <w:jc w:val="right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44. No caso de ausência de algum dos licitantes no ato em que foi adotada a decisão, a intimação para recursos relativos ao julgamento das propostas: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tabs>
                <w:tab w:val="left" w:pos="240"/>
              </w:tabs>
              <w:spacing w:before="220" w:after="220" w:line="188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(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 xml:space="preserve">) foi publicada no DOU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109, inciso I, § 1° da Lei 8.666/93)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tabs>
                <w:tab w:val="left" w:pos="355"/>
                <w:tab w:val="left" w:pos="758"/>
                <w:tab w:val="left" w:pos="1459"/>
                <w:tab w:val="left" w:pos="2731"/>
                <w:tab w:val="left" w:pos="3946"/>
                <w:tab w:val="left" w:pos="4430"/>
                <w:tab w:val="left" w:pos="5467"/>
              </w:tabs>
              <w:spacing w:before="220" w:line="216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(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)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foram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comunicados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diretamente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aos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licitantes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e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after="220" w:line="216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lavrados em Ata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109, inciso I, § 1° da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Lei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8.666/93)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tabs>
                <w:tab w:val="left" w:pos="264"/>
              </w:tabs>
              <w:spacing w:before="220" w:line="216" w:lineRule="exact"/>
              <w:jc w:val="both"/>
              <w:rPr>
                <w:rFonts w:asciiTheme="minorHAnsi" w:hAnsiTheme="minorHAnsi" w:cstheme="minorHAnsi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(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ab/>
              <w:t>) ocorreu conforme previsto no edital e consta nos autos o comprovante</w:t>
            </w:r>
          </w:p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da intimação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41 da Lei 8.666/93)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left="560" w:hanging="38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45. No caso de recurso na fase de avaliação das propostas comerciais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38, VIII c/c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109, todos da Lei 8666/93):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9BBBA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188" w:lineRule="exact"/>
              <w:jc w:val="both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a) Os recursos foram tempestivos e estão anexados ao processo?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1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b) Os licitantes apresentaram tempestivamente as suas contra-razões e estas estão anexadas ao processo?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c) Foram redigidos relatórios e deliberações da comissão referentes aos recursos?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66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left="560" w:hanging="38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46. A Comissão de Licitação elaborou relatório final da licitação com o resumo dos fatos e a classificação das propostas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38, V da LLCA)?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5091C" w:rsidRPr="00DD446C" w:rsidTr="00924436">
        <w:trPr>
          <w:trHeight w:hRule="exact" w:val="47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5091C" w:rsidRPr="00DD446C" w:rsidRDefault="0085091C" w:rsidP="0085091C">
            <w:pPr>
              <w:pStyle w:val="MSGENFONTSTYLENAMETEMPLATEROLENUMBERMSGENFONTSTYLENAMEBYROLETEXT120"/>
              <w:shd w:val="clear" w:color="auto" w:fill="auto"/>
              <w:spacing w:line="216" w:lineRule="exact"/>
              <w:ind w:left="560" w:hanging="380"/>
              <w:rPr>
                <w:rFonts w:asciiTheme="minorHAnsi" w:hAnsiTheme="minorHAnsi" w:cstheme="minorHAnsi"/>
                <w:lang w:val="pt-PT" w:eastAsia="pt-PT" w:bidi="pt-PT"/>
              </w:rPr>
            </w:pP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 xml:space="preserve">47. O objeto licitado foi adjudicado ao vencedor pela autoridade competente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  <w:lang w:val="pt-BR" w:eastAsia="en-US" w:bidi="en-US"/>
              </w:rPr>
              <w:t xml:space="preserve">(art. </w:t>
            </w:r>
            <w:r w:rsidRPr="00DD446C">
              <w:rPr>
                <w:rStyle w:val="MSGENFONTSTYLENAMETEMPLATEROLENUMBERMSGENFONTSTYLENAMEBYROLETEXT12MSGENFONTSTYLEMODIFERSIZE85"/>
                <w:rFonts w:asciiTheme="minorHAnsi" w:eastAsia="Calibri" w:hAnsiTheme="minorHAnsi" w:cstheme="minorHAnsi"/>
              </w:rPr>
              <w:t>38, inciso VII)?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91C" w:rsidRPr="00DD446C" w:rsidRDefault="0085091C" w:rsidP="0085091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CD3318" w:rsidRPr="00DD446C" w:rsidRDefault="00CD3318">
      <w:pPr>
        <w:rPr>
          <w:rFonts w:asciiTheme="minorHAnsi" w:hAnsiTheme="minorHAnsi" w:cstheme="minorHAnsi"/>
        </w:rPr>
      </w:pPr>
    </w:p>
    <w:sectPr w:rsidR="00CD3318" w:rsidRPr="00DD446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15" w:rsidRDefault="006E5415" w:rsidP="00D07647">
      <w:r>
        <w:separator/>
      </w:r>
    </w:p>
  </w:endnote>
  <w:endnote w:type="continuationSeparator" w:id="0">
    <w:p w:rsidR="006E5415" w:rsidRDefault="006E5415" w:rsidP="00D0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15" w:rsidRDefault="006E5415" w:rsidP="00D07647">
      <w:r>
        <w:separator/>
      </w:r>
    </w:p>
  </w:footnote>
  <w:footnote w:type="continuationSeparator" w:id="0">
    <w:p w:rsidR="006E5415" w:rsidRDefault="006E5415" w:rsidP="00D0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7" w:rsidRDefault="00D74283">
    <w:pPr>
      <w:pStyle w:val="Cabealho"/>
      <w:rPr>
        <w:rFonts w:ascii="Arial" w:hAnsi="Arial"/>
        <w:noProof/>
        <w:color w:val="auto"/>
        <w:lang w:val="pt-BR" w:eastAsia="pt-BR" w:bidi="ar-SA"/>
      </w:rPr>
    </w:pPr>
    <w:r>
      <w:rPr>
        <w:rFonts w:ascii="Arial" w:hAnsi="Arial"/>
        <w:noProof/>
        <w:color w:val="auto"/>
        <w:lang w:val="pt-BR" w:eastAsia="pt-BR" w:bidi="ar-SA"/>
      </w:rPr>
      <w:drawing>
        <wp:inline distT="0" distB="0" distL="0" distR="0">
          <wp:extent cx="5403850" cy="920750"/>
          <wp:effectExtent l="0" t="0" r="635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7647" w:rsidRPr="00D07647" w:rsidRDefault="00D07647" w:rsidP="00D07647">
    <w:pPr>
      <w:keepLines/>
      <w:widowControl/>
      <w:spacing w:line="276" w:lineRule="auto"/>
      <w:jc w:val="center"/>
      <w:rPr>
        <w:b/>
        <w:color w:val="auto"/>
        <w:sz w:val="22"/>
        <w:lang w:val="pt-BR" w:eastAsia="en-US" w:bidi="ar-SA"/>
      </w:rPr>
    </w:pPr>
    <w:r w:rsidRPr="00D07647">
      <w:rPr>
        <w:b/>
        <w:color w:val="auto"/>
        <w:sz w:val="22"/>
        <w:lang w:val="pt-BR" w:eastAsia="en-US" w:bidi="ar-SA"/>
      </w:rPr>
      <w:t>DIRETORIA DE LICITAÇÕES E CONTRATOS</w:t>
    </w:r>
  </w:p>
  <w:p w:rsidR="00D07647" w:rsidRPr="00D07647" w:rsidRDefault="00D07647" w:rsidP="00D07647">
    <w:pPr>
      <w:keepLines/>
      <w:widowControl/>
      <w:spacing w:line="276" w:lineRule="auto"/>
      <w:jc w:val="center"/>
      <w:rPr>
        <w:b/>
        <w:color w:val="auto"/>
        <w:sz w:val="28"/>
        <w:lang w:val="pt-BR" w:eastAsia="en-US" w:bidi="ar-SA"/>
      </w:rPr>
    </w:pPr>
    <w:r w:rsidRPr="00D07647">
      <w:rPr>
        <w:b/>
        <w:color w:val="auto"/>
        <w:sz w:val="22"/>
        <w:lang w:val="pt-BR" w:eastAsia="en-US" w:bidi="ar-SA"/>
      </w:rPr>
      <w:t xml:space="preserve">COORDENAÇÃO DE LICITAÇÕES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1"/>
    <w:rsid w:val="00014BC1"/>
    <w:rsid w:val="0038324A"/>
    <w:rsid w:val="00430192"/>
    <w:rsid w:val="006B00CE"/>
    <w:rsid w:val="006E5415"/>
    <w:rsid w:val="0075072A"/>
    <w:rsid w:val="007542B8"/>
    <w:rsid w:val="00807568"/>
    <w:rsid w:val="0085091C"/>
    <w:rsid w:val="00924436"/>
    <w:rsid w:val="009B58A2"/>
    <w:rsid w:val="00B4397C"/>
    <w:rsid w:val="00CD3318"/>
    <w:rsid w:val="00D07647"/>
    <w:rsid w:val="00D74283"/>
    <w:rsid w:val="00DA61B5"/>
    <w:rsid w:val="00DD446C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1"/>
    <w:pPr>
      <w:widowControl w:val="0"/>
    </w:pPr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NUMBERMSGENFONTSTYLENAMEBYROLETEXT12">
    <w:name w:val="MSG_EN_FONT_STYLE_NAME_TEMPLATE_ROLE_NUMBER MSG_EN_FONT_STYLE_NAME_BY_ROLE_TEXT 12_"/>
    <w:link w:val="MSGENFONTSTYLENAMETEMPLATEROLENUMBERMSGENFONTSTYLENAMEBYROLETEXT120"/>
    <w:locked/>
    <w:rsid w:val="00014BC1"/>
    <w:rPr>
      <w:sz w:val="19"/>
      <w:szCs w:val="19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014BC1"/>
    <w:pPr>
      <w:shd w:val="clear" w:color="auto" w:fill="FFFFFF"/>
      <w:spacing w:line="210" w:lineRule="exact"/>
    </w:pPr>
    <w:rPr>
      <w:rFonts w:ascii="Calibri" w:eastAsia="Calibri" w:hAnsi="Calibri"/>
      <w:color w:val="auto"/>
      <w:sz w:val="19"/>
      <w:szCs w:val="19"/>
      <w:lang w:val="pt-BR" w:eastAsia="en-US" w:bidi="ar-SA"/>
    </w:rPr>
  </w:style>
  <w:style w:type="character" w:customStyle="1" w:styleId="MSGENFONTSTYLENAMETEMPLATEROLENUMBERMSGENFONTSTYLENAMEBYROLETEXT12MSGENFONTSTYLEMODIFERSIZE85">
    <w:name w:val="MSG_EN_FONT_STYLE_NAME_TEMPLATE_ROLE_NUMBER MSG_EN_FONT_STYLE_NAME_BY_ROLE_TEXT 12 + MSG_EN_FONT_STYLE_MODIFER_SIZE 8.5"/>
    <w:rsid w:val="00014BC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6B0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0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B00CE"/>
    <w:rPr>
      <w:rFonts w:ascii="Times New Roman" w:eastAsia="Times New Roman" w:hAnsi="Times New Roman"/>
      <w:color w:val="00000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00CE"/>
    <w:rPr>
      <w:rFonts w:ascii="Times New Roman" w:eastAsia="Times New Roman" w:hAnsi="Times New Roman"/>
      <w:b/>
      <w:bCs/>
      <w:color w:val="00000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0CE"/>
    <w:rPr>
      <w:rFonts w:ascii="Tahoma" w:eastAsia="Times New Roman" w:hAnsi="Tahoma" w:cs="Tahoma"/>
      <w:color w:val="000000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1"/>
    <w:pPr>
      <w:widowControl w:val="0"/>
    </w:pPr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NUMBERMSGENFONTSTYLENAMEBYROLETEXT12">
    <w:name w:val="MSG_EN_FONT_STYLE_NAME_TEMPLATE_ROLE_NUMBER MSG_EN_FONT_STYLE_NAME_BY_ROLE_TEXT 12_"/>
    <w:link w:val="MSGENFONTSTYLENAMETEMPLATEROLENUMBERMSGENFONTSTYLENAMEBYROLETEXT120"/>
    <w:locked/>
    <w:rsid w:val="00014BC1"/>
    <w:rPr>
      <w:sz w:val="19"/>
      <w:szCs w:val="19"/>
      <w:shd w:val="clear" w:color="auto" w:fill="FFFFFF"/>
    </w:rPr>
  </w:style>
  <w:style w:type="paragraph" w:customStyle="1" w:styleId="MSGENFONTSTYLENAMETEMPLATEROLENUMBERMSGENFONTSTYLENAMEBYROLETEXT120">
    <w:name w:val="MSG_EN_FONT_STYLE_NAME_TEMPLATE_ROLE_NUMBER MSG_EN_FONT_STYLE_NAME_BY_ROLE_TEXT 12"/>
    <w:basedOn w:val="Normal"/>
    <w:link w:val="MSGENFONTSTYLENAMETEMPLATEROLENUMBERMSGENFONTSTYLENAMEBYROLETEXT12"/>
    <w:rsid w:val="00014BC1"/>
    <w:pPr>
      <w:shd w:val="clear" w:color="auto" w:fill="FFFFFF"/>
      <w:spacing w:line="210" w:lineRule="exact"/>
    </w:pPr>
    <w:rPr>
      <w:rFonts w:ascii="Calibri" w:eastAsia="Calibri" w:hAnsi="Calibri"/>
      <w:color w:val="auto"/>
      <w:sz w:val="19"/>
      <w:szCs w:val="19"/>
      <w:lang w:val="pt-BR" w:eastAsia="en-US" w:bidi="ar-SA"/>
    </w:rPr>
  </w:style>
  <w:style w:type="character" w:customStyle="1" w:styleId="MSGENFONTSTYLENAMETEMPLATEROLENUMBERMSGENFONTSTYLENAMEBYROLETEXT12MSGENFONTSTYLEMODIFERSIZE85">
    <w:name w:val="MSG_EN_FONT_STYLE_NAME_TEMPLATE_ROLE_NUMBER MSG_EN_FONT_STYLE_NAME_BY_ROLE_TEXT 12 + MSG_EN_FONT_STYLE_MODIFER_SIZE 8.5"/>
    <w:rsid w:val="00014BC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shd w:val="clear" w:color="auto" w:fill="FFFFFF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6B00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0C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B00CE"/>
    <w:rPr>
      <w:rFonts w:ascii="Times New Roman" w:eastAsia="Times New Roman" w:hAnsi="Times New Roman"/>
      <w:color w:val="00000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0C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B00CE"/>
    <w:rPr>
      <w:rFonts w:ascii="Times New Roman" w:eastAsia="Times New Roman" w:hAnsi="Times New Roman"/>
      <w:b/>
      <w:bCs/>
      <w:color w:val="00000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0CE"/>
    <w:rPr>
      <w:rFonts w:ascii="Tahoma" w:eastAsia="Times New Roman" w:hAnsi="Tahoma" w:cs="Tahoma"/>
      <w:color w:val="000000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7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7647"/>
    <w:rPr>
      <w:rFonts w:ascii="Times New Roman" w:eastAsia="Times New Roman" w:hAnsi="Times New Roman"/>
      <w:color w:val="000000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061E-7FB5-4B55-A9D4-554EC9E0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2155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HEMONTE</dc:creator>
  <cp:lastModifiedBy>DLC</cp:lastModifiedBy>
  <cp:revision>2</cp:revision>
  <dcterms:created xsi:type="dcterms:W3CDTF">2017-05-03T07:31:00Z</dcterms:created>
  <dcterms:modified xsi:type="dcterms:W3CDTF">2017-05-03T07:31:00Z</dcterms:modified>
</cp:coreProperties>
</file>