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57" w:rsidRPr="004034A8" w:rsidRDefault="00D07647" w:rsidP="00B10B57">
      <w:pPr>
        <w:widowControl/>
        <w:spacing w:before="12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</w:pPr>
      <w:r w:rsidRPr="004034A8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>LISTA DE VERIFICAÇÃO – 04</w:t>
      </w:r>
      <w:r w:rsidR="00B10B57" w:rsidRPr="004034A8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 xml:space="preserve"> </w:t>
      </w:r>
    </w:p>
    <w:p w:rsidR="00D07647" w:rsidRPr="004034A8" w:rsidRDefault="00B10B57" w:rsidP="004034A8">
      <w:pPr>
        <w:widowControl/>
        <w:spacing w:before="12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</w:pPr>
      <w:r w:rsidRPr="004034A8">
        <w:rPr>
          <w:rFonts w:asciiTheme="minorHAnsi" w:hAnsiTheme="minorHAnsi" w:cs="Arial"/>
          <w:b/>
          <w:bCs/>
          <w:color w:val="auto"/>
          <w:sz w:val="22"/>
          <w:szCs w:val="22"/>
          <w:lang w:val="pt-BR" w:eastAsia="pt-BR" w:bidi="ar-SA"/>
        </w:rPr>
        <w:t>ELEMENTOS DO PROCESSO LICITATÓRIO NA MODALIDADE TOMADA DE PREÇOS E CONCORRÊNCIA</w:t>
      </w:r>
    </w:p>
    <w:p w:rsidR="00D07647" w:rsidRPr="004034A8" w:rsidRDefault="00D07647" w:rsidP="00D07647">
      <w:pPr>
        <w:widowControl/>
        <w:spacing w:before="120"/>
        <w:jc w:val="both"/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</w:pPr>
      <w:proofErr w:type="gramStart"/>
      <w:r w:rsidRPr="004034A8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>São</w:t>
      </w:r>
      <w:proofErr w:type="gramEnd"/>
      <w:r w:rsidRPr="004034A8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 xml:space="preserve"> os atos administrativos e documentos previstos na lei nº 8.666/93, necessários à instrução do procedimento licitatório nas modalidades </w:t>
      </w:r>
      <w:r w:rsidRPr="004034A8">
        <w:rPr>
          <w:rFonts w:asciiTheme="minorHAnsi" w:hAnsiTheme="minorHAnsi" w:cs="Arial"/>
          <w:b/>
          <w:color w:val="auto"/>
          <w:sz w:val="22"/>
          <w:szCs w:val="22"/>
          <w:lang w:val="pt-BR" w:eastAsia="pt-BR" w:bidi="ar-SA"/>
        </w:rPr>
        <w:t>Tomada de Preços e Concorrência</w:t>
      </w:r>
      <w:r w:rsidRPr="004034A8"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  <w:t>:</w:t>
      </w:r>
    </w:p>
    <w:p w:rsidR="00ED7C5E" w:rsidRPr="004034A8" w:rsidRDefault="00ED7C5E" w:rsidP="00D07647">
      <w:pPr>
        <w:widowControl/>
        <w:spacing w:before="120"/>
        <w:jc w:val="both"/>
        <w:rPr>
          <w:rFonts w:asciiTheme="minorHAnsi" w:hAnsiTheme="minorHAnsi" w:cs="Arial"/>
          <w:color w:val="auto"/>
          <w:sz w:val="22"/>
          <w:szCs w:val="22"/>
          <w:lang w:val="pt-BR" w:eastAsia="pt-BR" w:bidi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ED7C5E" w:rsidRPr="004034A8" w:rsidTr="00061498">
        <w:trPr>
          <w:jc w:val="center"/>
        </w:trPr>
        <w:tc>
          <w:tcPr>
            <w:tcW w:w="6168" w:type="dxa"/>
            <w:gridSpan w:val="2"/>
          </w:tcPr>
          <w:p w:rsidR="00ED7C5E" w:rsidRPr="004034A8" w:rsidRDefault="00ED7C5E" w:rsidP="00061498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4034A8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>Processo nº</w:t>
            </w:r>
          </w:p>
        </w:tc>
      </w:tr>
      <w:tr w:rsidR="00ED7C5E" w:rsidRPr="004034A8" w:rsidTr="00061498">
        <w:trPr>
          <w:jc w:val="center"/>
        </w:trPr>
        <w:tc>
          <w:tcPr>
            <w:tcW w:w="3260" w:type="dxa"/>
          </w:tcPr>
          <w:p w:rsidR="00ED7C5E" w:rsidRPr="004034A8" w:rsidRDefault="00ED7C5E" w:rsidP="00ED7C5E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4034A8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60A88" wp14:editId="008EB80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73660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28.6pt;margin-top:5.8pt;width:28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4034A8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5EBD4" wp14:editId="75A532AD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4034A8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 xml:space="preserve">Obra                    Projeto </w:t>
            </w:r>
          </w:p>
        </w:tc>
        <w:tc>
          <w:tcPr>
            <w:tcW w:w="2908" w:type="dxa"/>
          </w:tcPr>
          <w:p w:rsidR="00ED7C5E" w:rsidRPr="004034A8" w:rsidRDefault="00ED7C5E" w:rsidP="00ED7C5E">
            <w:pPr>
              <w:spacing w:before="12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</w:pPr>
            <w:r w:rsidRPr="004034A8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61C98" wp14:editId="62D3D5E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73660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84.65pt;margin-top:5.8pt;width:28.1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4034A8">
              <w:rPr>
                <w:rFonts w:asciiTheme="minorHAnsi" w:hAnsiTheme="minorHAnsi" w:cs="Calibri"/>
                <w:bCs/>
                <w:noProof/>
                <w:sz w:val="22"/>
                <w:szCs w:val="22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1BADC" wp14:editId="6A2A6FB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73025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21.5pt;margin-top:5.7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4034A8">
              <w:rPr>
                <w:rFonts w:asciiTheme="minorHAnsi" w:hAnsiTheme="minorHAnsi" w:cs="Calibri"/>
                <w:bCs/>
                <w:sz w:val="22"/>
                <w:szCs w:val="22"/>
                <w:lang w:eastAsia="pt-BR"/>
              </w:rPr>
              <w:t>TP                   CC</w:t>
            </w:r>
          </w:p>
        </w:tc>
      </w:tr>
    </w:tbl>
    <w:p w:rsidR="00ED7C5E" w:rsidRPr="004034A8" w:rsidRDefault="00ED7C5E" w:rsidP="00ED7C5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"/>
        <w:gridCol w:w="850"/>
        <w:gridCol w:w="2405"/>
      </w:tblGrid>
      <w:tr w:rsidR="00ED7C5E" w:rsidRPr="004034A8" w:rsidTr="004034A8">
        <w:trPr>
          <w:trHeight w:val="248"/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  <w:tr w:rsidR="00ED7C5E" w:rsidRPr="004034A8" w:rsidTr="004034A8">
        <w:trPr>
          <w:trHeight w:val="372"/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Sim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Não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ED7C5E" w:rsidRPr="004034A8" w:rsidRDefault="00ED7C5E" w:rsidP="0006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A8">
              <w:rPr>
                <w:rFonts w:asciiTheme="minorHAnsi" w:hAnsiTheme="minorHAnsi" w:cstheme="minorHAnsi"/>
                <w:bCs/>
                <w:sz w:val="22"/>
                <w:szCs w:val="22"/>
              </w:rPr>
              <w:t>Não se aplica</w:t>
            </w:r>
          </w:p>
        </w:tc>
      </w:tr>
    </w:tbl>
    <w:p w:rsidR="00CD3318" w:rsidRPr="004034A8" w:rsidRDefault="00CD3318" w:rsidP="00FD20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0"/>
        <w:gridCol w:w="763"/>
        <w:gridCol w:w="895"/>
        <w:gridCol w:w="487"/>
      </w:tblGrid>
      <w:tr w:rsidR="00FD20F7" w:rsidRPr="004034A8" w:rsidTr="004034A8">
        <w:trPr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8342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34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ATOS ADMINISTRATIVOS E DOCUMENTOS A SEREM VERIFICADOS 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8342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34A8">
              <w:rPr>
                <w:rFonts w:asciiTheme="minorHAnsi" w:hAnsiTheme="minorHAnsi"/>
                <w:b/>
                <w:sz w:val="22"/>
                <w:szCs w:val="22"/>
              </w:rPr>
              <w:t>S / N / N/A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8342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34A8">
              <w:rPr>
                <w:rFonts w:asciiTheme="minorHAnsi" w:hAnsiTheme="minorHAnsi"/>
                <w:b/>
                <w:sz w:val="22"/>
                <w:szCs w:val="22"/>
              </w:rPr>
              <w:t>Folha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8342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34A8">
              <w:rPr>
                <w:rFonts w:asciiTheme="minorHAnsi" w:hAnsiTheme="minorHAnsi"/>
                <w:b/>
                <w:sz w:val="22"/>
                <w:szCs w:val="22"/>
              </w:rPr>
              <w:t>RUB</w:t>
            </w:r>
          </w:p>
        </w:tc>
      </w:tr>
      <w:tr w:rsidR="00FD20F7" w:rsidRPr="004034A8" w:rsidTr="004034A8">
        <w:trPr>
          <w:trHeight w:val="537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1. Abertura de processo administrativo devidamente autuado, protocolado e numerado (art. 38, caput, da Lei nº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520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2. Consta a solicitação/requisição do objeto, elaborada pelo agente ou setor competente (Acórdão 254/2004-Segunda Câmara-TCU)?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1237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59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2.2. A autoridade competente justificou a necessidade da contratação (art. 2º</w:t>
            </w:r>
            <w:r w:rsidRPr="004034A8"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  <w:t>, caput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, e parágrafo único, VII, da Lei nº 9.784/99)?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4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3. Consta a autorização da autoridade competente para a abertura da licitação (art. 38, </w:t>
            </w:r>
            <w:r w:rsidRPr="004034A8"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  <w:t>caput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, da Lei nº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133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4.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 xml:space="preserve">Foi efetuada pesquisa, de modo a verificar a compatibilidade dos preços dos bens ou serviços a serem adquiridos com os preços de mercado ou com os fixados por órgão oficial competente, ou ainda SINAPI 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(art.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 xml:space="preserve">15, III e 43, IV da Lei n° 8.666/93 e 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art.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3, Decreto 7983/2013)?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735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5. Para contratação de obras ou serviços, existe estudo técnico preliminar para subsidiar a elaboração do projeto básico (art. 6.º, IX, Lei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344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6.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Há comprovação do recolhimento da Anotação de Responsabilidade Técnica - ART do autor do projeto básico e demais documentos técnicos, inclusive das planilhas orçamentárias (art. 10, Decreto 7983/2013)?</w:t>
            </w: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91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7. Consta no processo Termo de Responsabilidade, ou designação/identificação do servidor responsável pela Pesquisa de Preço assinado pelo servidor que pesquisou as propostas?</w:t>
            </w: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52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8. A modalidade escolhida está adequada ao valor da licitação (art. 23, incisos I e II)?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49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9. Para contratação de obras ou serviços: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812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9.1. Foi elaborado e aprovado o projeto básico pela autoridade competente de forma motivada (arts. 6°, IX, 7°, §2°, I e 9°, inciso I da Lei n°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1103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9.2.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Constam as listas de verificação destinadas a orientar os fiscais, no que concerne ao Recebimento Provisório e Definitivo, como anexo do projeto básico (Acórdão 1545/2016 - item 9.2.22.2)</w:t>
            </w:r>
            <w:r w:rsidR="00D72A57" w:rsidRPr="004034A8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1077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9.3. Foi elaborado, se for o caso, o projeto executivo (art. 6°, X e 7° II, Lei n° 8.666/93), ou autorizado que seja realizado concomitantemente com a execução dos mesmos (art. 7°, §1°, Lei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1632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9.4.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 xml:space="preserve">Existe orçamento detalhado em planilhas que expressem a composição de todos os custos unitários do objeto, baseado em pesquisa de preços praticados no mercado (arts. 7°, § 2°, II, e 43, IV da Lei n° 8.666/93), assim como a respectiva pesquisa de preços realizada 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(IN/SLTI 05/2014)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812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9.5. No Edital ou em seus anexos, há previsão de que a empresa deverá adequar-se as exigências da Instrução Normativa SLTI/MPOG n° 01, de 19/01/2010?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705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9.6.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Consta no Edital ou em seus anexos que a contratada deverá atender ao Manual de Obras Públicas Sustentáveis da UFPE?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555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9.7. Constitui anexo do edital o Manual de Obras Públicas Sustentáveis da UFPE?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49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10. Consta a aprovação motivada do projeto básico pela autoridade competente (art. 7º, § 2º, I da Lei nº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935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11.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 xml:space="preserve">Quando da utilização de método de pesquisa diverso do disposto no §2º do art. 2º da IN/SLTI 05/2014, foi tal situação justificada (art. 2º, § 3º da </w:t>
            </w:r>
            <w:r w:rsidRPr="004034A8">
              <w:rPr>
                <w:rFonts w:asciiTheme="minorHAnsi" w:hAnsiTheme="minorHAnsi" w:cs="Arial"/>
                <w:sz w:val="22"/>
                <w:szCs w:val="22"/>
              </w:rPr>
              <w:t xml:space="preserve">IN SLTI/MPOG nº </w:t>
            </w:r>
            <w:r w:rsidRPr="004034A8">
              <w:rPr>
                <w:rFonts w:asciiTheme="minorHAnsi" w:hAnsiTheme="minorHAnsi"/>
                <w:sz w:val="22"/>
                <w:szCs w:val="22"/>
              </w:rPr>
              <w:t>05/2014, atualizada)?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779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vertAlign w:val="subscript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11.1 No caso de pesquisa com menos de três preços/fornecedores, foi apresentada justificativa (art. 2º, § 5º da IN/SLTI 05/2014, atualizada)?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44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12. Há previsão de recursos orçamentários, com indicação das respectivas rubricas (</w:t>
            </w:r>
            <w:proofErr w:type="spellStart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arts</w:t>
            </w:r>
            <w:proofErr w:type="spellEnd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. 7º, § 2º, III, 14 e 38, caput, da Lei nº 8.666/93)?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1568C6" w:rsidRPr="004034A8" w:rsidTr="004034A8">
        <w:trPr>
          <w:trHeight w:val="644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8C6" w:rsidRPr="004034A8" w:rsidRDefault="001568C6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12.1. </w:t>
            </w:r>
            <w:r w:rsidR="00BB6542" w:rsidRPr="00D050AA">
              <w:rPr>
                <w:rFonts w:ascii="Ecofont_Spranq_eco_Sans" w:hAnsi="Ecofont_Spranq_eco_Sans" w:cs="Arial"/>
                <w:sz w:val="20"/>
              </w:rPr>
              <w:t xml:space="preserve">Se for o caso, </w:t>
            </w:r>
            <w:proofErr w:type="gramStart"/>
            <w:r w:rsidR="00BB6542" w:rsidRPr="00D050AA">
              <w:rPr>
                <w:rFonts w:ascii="Ecofont_Spranq_eco_Sans" w:hAnsi="Ecofont_Spranq_eco_Sans" w:cs="Arial"/>
                <w:sz w:val="20"/>
              </w:rPr>
              <w:t>constam</w:t>
            </w:r>
            <w:proofErr w:type="gramEnd"/>
            <w:r w:rsidR="00BB6542" w:rsidRPr="00D050AA">
              <w:rPr>
                <w:rFonts w:ascii="Ecofont_Spranq_eco_Sans" w:hAnsi="Ecofont_Spranq_eco_Sans" w:cs="Arial"/>
                <w:sz w:val="20"/>
              </w:rPr>
              <w:t xml:space="preserve"> a estimativa do impacto orçamentário financeiro da despesa prevista no art. 16, inc. I da LC 101/2000 e a declaração prevista no art. 16, II do mesmo diploma na hipótese da despesa incidir no </w:t>
            </w:r>
            <w:r w:rsidR="00BB6542" w:rsidRPr="00D050AA">
              <w:rPr>
                <w:rFonts w:ascii="Ecofont_Spranq_eco_Sans" w:hAnsi="Ecofont_Spranq_eco_Sans" w:cs="Arial"/>
                <w:i/>
                <w:sz w:val="20"/>
              </w:rPr>
              <w:t xml:space="preserve">caput </w:t>
            </w:r>
            <w:r w:rsidR="00BB6542" w:rsidRPr="00D050AA">
              <w:rPr>
                <w:rFonts w:ascii="Ecofont_Spranq_eco_Sans" w:hAnsi="Ecofont_Spranq_eco_Sans" w:cs="Arial"/>
                <w:sz w:val="20"/>
              </w:rPr>
              <w:t>do art. 16?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8C6" w:rsidRPr="004034A8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8C6" w:rsidRPr="004034A8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8C6" w:rsidRPr="004034A8" w:rsidRDefault="001568C6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1146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13. Em face do valor estimado do objeto, a participação na licitação é </w:t>
            </w:r>
            <w:proofErr w:type="gramStart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exclusiva para Microempresas, Empresas</w:t>
            </w:r>
            <w:proofErr w:type="gramEnd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de Pequeno Porte e Sociedades Cooperativas (art. 48, I, da LC nº 123/06, art. 6º do Decreto nº 8.538, de 2015, e art. 34 da Lei nº 11.488/07)? 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735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13.1 Incide uma das exceções previstas no art. 10 do Decreto nº 8.538, de 2015, devidamente justificada, a afastar a exclusividade?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706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72A57" w:rsidRPr="004034A8">
              <w:rPr>
                <w:rFonts w:asciiTheme="minorHAnsi" w:hAnsiTheme="minorHAnsi"/>
                <w:sz w:val="22"/>
                <w:szCs w:val="22"/>
                <w:lang w:val="pt-BR"/>
              </w:rPr>
              <w:t>4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. Consta a designação da Comissão de licitação dentro do prazo de validade (art. 38, incisos III e art. 51 e seus parágrafos)?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15. O edital faz menção à documentação necessária para (art. 40</w:t>
            </w:r>
            <w:proofErr w:type="gramStart"/>
            <w:r w:rsidRPr="004034A8">
              <w:rPr>
                <w:rFonts w:asciiTheme="minorHAnsi" w:hAnsiTheme="minorHAnsi"/>
                <w:sz w:val="22"/>
                <w:szCs w:val="22"/>
              </w:rPr>
              <w:t>, VI</w:t>
            </w:r>
            <w:proofErr w:type="gramEnd"/>
            <w:r w:rsidRPr="004034A8">
              <w:rPr>
                <w:rFonts w:asciiTheme="minorHAnsi" w:hAnsiTheme="minorHAnsi"/>
                <w:sz w:val="22"/>
                <w:szCs w:val="22"/>
              </w:rPr>
              <w:t xml:space="preserve"> da Lei 8666/93):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384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15.1. A habilitação jurídica (art. 27, I c/c art. 28, ambos da Lei 8666/93)?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 xml:space="preserve">15.2. A qualificação técnica (art. 27, II c/c art. 30, ambos da LLCA) – observado o limite máximo de 50% quanto </w:t>
            </w:r>
            <w:proofErr w:type="gramStart"/>
            <w:r w:rsidRPr="004034A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4034A8">
              <w:rPr>
                <w:rFonts w:asciiTheme="minorHAnsi" w:hAnsiTheme="minorHAnsi"/>
                <w:sz w:val="22"/>
                <w:szCs w:val="22"/>
              </w:rPr>
              <w:t xml:space="preserve"> exigência de quantitivos mínimos, nos atestados de capacidade técnica, do previsto no orçamento base?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15.3. A qualificação econômico-financeira (art. 27, III c/c art. 31, todos da LLCA)?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15.4. A comprovação da regularidade fiscal (art. 27, IV c/c art. 29, todos da LLCA)?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72A57" w:rsidRPr="004034A8">
              <w:rPr>
                <w:rFonts w:asciiTheme="minorHAnsi" w:hAnsiTheme="minorHAnsi"/>
                <w:sz w:val="22"/>
                <w:szCs w:val="22"/>
                <w:lang w:val="pt-BR"/>
              </w:rPr>
              <w:t>6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Há análise e aprovação da minuta de edital e seus anexos pela assessoria </w:t>
            </w:r>
            <w:proofErr w:type="gramStart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jurídica (art. 38, parágrafo único, da Lei n° 8.666/93) anexado aos autos</w:t>
            </w:r>
            <w:proofErr w:type="gramEnd"/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72A57" w:rsidRPr="004034A8">
              <w:rPr>
                <w:rFonts w:asciiTheme="minorHAnsi" w:hAnsiTheme="minorHAnsi"/>
                <w:sz w:val="22"/>
                <w:szCs w:val="22"/>
                <w:lang w:val="pt-BR"/>
              </w:rPr>
              <w:t>6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.1. Houve alteração sugerida pela assessoria jurídica, bem como o retorno dos autos para parecer conclusivo, caso aquela tenha requerido?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628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72A57" w:rsidRPr="004034A8">
              <w:rPr>
                <w:rFonts w:asciiTheme="minorHAnsi" w:hAnsiTheme="minorHAnsi"/>
                <w:sz w:val="22"/>
                <w:szCs w:val="22"/>
                <w:lang w:val="pt-BR"/>
              </w:rPr>
              <w:t>6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.2. Houve algum ponto em que não foi aceita a recomendação da assessoria jurídica com a devida justificativa para tanto?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51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FD20F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  <w:r w:rsidR="00D72A57" w:rsidRPr="004034A8"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. O aviso contendo o resumo do edital foi publicado no DOU e no jornal de grande circulação (art. 21 da Lei 8666/93)?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> </w:t>
            </w:r>
          </w:p>
        </w:tc>
      </w:tr>
      <w:tr w:rsidR="00FD20F7" w:rsidRPr="004034A8" w:rsidTr="004034A8">
        <w:trPr>
          <w:trHeight w:val="51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D72A5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18. </w:t>
            </w:r>
            <w:r w:rsidR="00FD20F7" w:rsidRPr="004034A8">
              <w:rPr>
                <w:rFonts w:asciiTheme="minorHAnsi" w:hAnsiTheme="minorHAnsi"/>
                <w:sz w:val="22"/>
                <w:szCs w:val="22"/>
              </w:rPr>
              <w:t>Foi observado o prazo, entre a divulgação da licitação e a realização do evento, de: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8A54" w:themeFill="background2" w:themeFillShade="80"/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51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D72A5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18.1. </w:t>
            </w:r>
            <w:r w:rsidR="00FD20F7" w:rsidRPr="004034A8">
              <w:rPr>
                <w:rFonts w:asciiTheme="minorHAnsi" w:hAnsiTheme="minorHAnsi"/>
                <w:sz w:val="22"/>
                <w:szCs w:val="22"/>
              </w:rPr>
              <w:t>Para os tipos técnica e técnica e preço: 30 dias (tomada de preço) e 45 dias (concorrência pública)?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FD20F7" w:rsidRPr="004034A8" w:rsidTr="004034A8">
        <w:trPr>
          <w:trHeight w:val="511"/>
          <w:tblCellSpacing w:w="0" w:type="dxa"/>
          <w:jc w:val="center"/>
        </w:trPr>
        <w:tc>
          <w:tcPr>
            <w:tcW w:w="7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0F7" w:rsidRPr="004034A8" w:rsidRDefault="00D72A57" w:rsidP="004034A8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 xml:space="preserve">18.2. </w:t>
            </w:r>
            <w:r w:rsidR="00FD20F7" w:rsidRPr="004034A8">
              <w:rPr>
                <w:rFonts w:asciiTheme="minorHAnsi" w:hAnsiTheme="minorHAnsi"/>
                <w:sz w:val="22"/>
                <w:szCs w:val="22"/>
              </w:rPr>
              <w:t>Quando não for do tipo técnica ou técnica e preço: 15 dias (tomada de preço) e 30 dias (concorrência pública); (Lei 8666/93, art. 21, § 2°, inciso II, alínea b, e inciso III)?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0F7" w:rsidRPr="004034A8" w:rsidRDefault="00FD20F7" w:rsidP="00FD20F7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4034A8" w:rsidRPr="004034A8" w:rsidRDefault="00663745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  <w:r w:rsidRPr="004034A8">
        <w:rPr>
          <w:rFonts w:asciiTheme="minorHAnsi" w:hAnsiTheme="minorHAnsi"/>
          <w:sz w:val="22"/>
          <w:szCs w:val="22"/>
          <w:lang w:val="pt-BR"/>
        </w:rPr>
        <w:t xml:space="preserve">  </w:t>
      </w:r>
    </w:p>
    <w:p w:rsidR="0003505C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03505C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663745" w:rsidRPr="004034A8" w:rsidRDefault="00663745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  <w:r w:rsidRPr="004034A8">
        <w:rPr>
          <w:rFonts w:asciiTheme="minorHAnsi" w:hAnsiTheme="minorHAnsi"/>
          <w:sz w:val="22"/>
          <w:szCs w:val="22"/>
          <w:lang w:val="pt-BR"/>
        </w:rPr>
        <w:t>Em, ______ / _______ / _________</w:t>
      </w:r>
    </w:p>
    <w:p w:rsidR="004034A8" w:rsidRDefault="004034A8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03505C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03505C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03505C" w:rsidRPr="004034A8" w:rsidRDefault="0003505C" w:rsidP="004034A8">
      <w:pPr>
        <w:ind w:right="-427"/>
        <w:jc w:val="right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4041"/>
        <w:gridCol w:w="1491"/>
        <w:gridCol w:w="2257"/>
        <w:gridCol w:w="1568"/>
      </w:tblGrid>
      <w:tr w:rsidR="00663745" w:rsidRPr="004034A8" w:rsidTr="00663745">
        <w:trPr>
          <w:trHeight w:val="259"/>
        </w:trPr>
        <w:tc>
          <w:tcPr>
            <w:tcW w:w="4041" w:type="dxa"/>
            <w:vAlign w:val="center"/>
          </w:tcPr>
          <w:p w:rsidR="00663745" w:rsidRPr="004034A8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515527398"/>
            <w:r w:rsidRPr="004034A8">
              <w:rPr>
                <w:rFonts w:asciiTheme="minorHAnsi" w:hAnsiTheme="minorHAnsi"/>
                <w:sz w:val="22"/>
                <w:szCs w:val="22"/>
              </w:rPr>
              <w:t>Servidor Responsável pela verificação</w:t>
            </w:r>
          </w:p>
        </w:tc>
        <w:tc>
          <w:tcPr>
            <w:tcW w:w="1491" w:type="dxa"/>
            <w:vAlign w:val="center"/>
          </w:tcPr>
          <w:p w:rsidR="00663745" w:rsidRPr="004034A8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2257" w:type="dxa"/>
            <w:vAlign w:val="center"/>
          </w:tcPr>
          <w:p w:rsidR="00663745" w:rsidRPr="004034A8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Assinatura</w:t>
            </w:r>
          </w:p>
        </w:tc>
        <w:tc>
          <w:tcPr>
            <w:tcW w:w="1568" w:type="dxa"/>
            <w:vAlign w:val="center"/>
          </w:tcPr>
          <w:p w:rsidR="00663745" w:rsidRPr="004034A8" w:rsidRDefault="00663745" w:rsidP="0066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34A8">
              <w:rPr>
                <w:rFonts w:asciiTheme="minorHAnsi" w:hAnsiTheme="minorHAnsi"/>
                <w:sz w:val="22"/>
                <w:szCs w:val="22"/>
              </w:rPr>
              <w:t>Itens</w:t>
            </w:r>
          </w:p>
        </w:tc>
      </w:tr>
      <w:tr w:rsidR="00663745" w:rsidRPr="004034A8" w:rsidTr="00663745">
        <w:tc>
          <w:tcPr>
            <w:tcW w:w="404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45" w:rsidRPr="004034A8" w:rsidTr="00663745">
        <w:tc>
          <w:tcPr>
            <w:tcW w:w="404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745" w:rsidRPr="004034A8" w:rsidTr="00663745">
        <w:tc>
          <w:tcPr>
            <w:tcW w:w="404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663745" w:rsidRPr="004034A8" w:rsidRDefault="00663745" w:rsidP="008342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:rsidR="00663745" w:rsidRPr="00FD20F7" w:rsidRDefault="00663745" w:rsidP="00FD20F7">
      <w:pPr>
        <w:rPr>
          <w:lang w:val="pt-BR"/>
        </w:rPr>
      </w:pPr>
    </w:p>
    <w:sectPr w:rsidR="00663745" w:rsidRPr="00FD20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B4" w:rsidRDefault="001D65B4" w:rsidP="00D07647">
      <w:r>
        <w:separator/>
      </w:r>
    </w:p>
  </w:endnote>
  <w:endnote w:type="continuationSeparator" w:id="0">
    <w:p w:rsidR="001D65B4" w:rsidRDefault="001D65B4" w:rsidP="00D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5C" w:rsidRDefault="0003505C" w:rsidP="0003505C">
    <w:pPr>
      <w:pStyle w:val="Rodap"/>
    </w:pPr>
    <w:r>
      <w:ptab w:relativeTo="margin" w:alignment="right" w:leader="none"/>
    </w:r>
    <w:r>
      <w:t>LV03 -</w:t>
    </w:r>
    <w:proofErr w:type="gramStart"/>
    <w:r>
      <w:t xml:space="preserve">  </w:t>
    </w:r>
    <w:proofErr w:type="gramEnd"/>
    <w:r>
      <w:t xml:space="preserve">TP e Concorrência – UFPE Versão 3 - Atualizada pela DLC em 24.08.2018 </w:t>
    </w:r>
  </w:p>
  <w:p w:rsidR="0003505C" w:rsidRDefault="0003505C" w:rsidP="0003505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B4" w:rsidRDefault="001D65B4" w:rsidP="00D07647">
      <w:r>
        <w:separator/>
      </w:r>
    </w:p>
  </w:footnote>
  <w:footnote w:type="continuationSeparator" w:id="0">
    <w:p w:rsidR="001D65B4" w:rsidRDefault="001D65B4" w:rsidP="00D0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7" w:rsidRPr="00B10B57" w:rsidRDefault="00B10B57" w:rsidP="004034A8">
    <w:pPr>
      <w:pStyle w:val="Cabealho"/>
      <w:jc w:val="center"/>
    </w:pPr>
    <w:r w:rsidRPr="004A4FFE">
      <w:rPr>
        <w:rFonts w:ascii="Arial" w:hAnsi="Arial"/>
        <w:noProof/>
        <w:lang w:val="pt-BR" w:eastAsia="pt-BR" w:bidi="ar-SA"/>
      </w:rPr>
      <w:drawing>
        <wp:inline distT="0" distB="0" distL="0" distR="0" wp14:anchorId="679BEF2F" wp14:editId="6433D462">
          <wp:extent cx="4158533" cy="718836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501" cy="71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1"/>
    <w:rsid w:val="00014BC1"/>
    <w:rsid w:val="0003505C"/>
    <w:rsid w:val="00072874"/>
    <w:rsid w:val="001568C6"/>
    <w:rsid w:val="001D65B4"/>
    <w:rsid w:val="002649EB"/>
    <w:rsid w:val="0038324A"/>
    <w:rsid w:val="003C0345"/>
    <w:rsid w:val="004034A8"/>
    <w:rsid w:val="00430192"/>
    <w:rsid w:val="004C505B"/>
    <w:rsid w:val="00520412"/>
    <w:rsid w:val="00557A26"/>
    <w:rsid w:val="00560C2F"/>
    <w:rsid w:val="00596B42"/>
    <w:rsid w:val="005D3F9D"/>
    <w:rsid w:val="00603EE7"/>
    <w:rsid w:val="0062715A"/>
    <w:rsid w:val="00651ED6"/>
    <w:rsid w:val="00663745"/>
    <w:rsid w:val="006754C6"/>
    <w:rsid w:val="006B00CE"/>
    <w:rsid w:val="006E5415"/>
    <w:rsid w:val="0075072A"/>
    <w:rsid w:val="007542B8"/>
    <w:rsid w:val="007742C0"/>
    <w:rsid w:val="007C5FF6"/>
    <w:rsid w:val="00807568"/>
    <w:rsid w:val="008242AB"/>
    <w:rsid w:val="0085091C"/>
    <w:rsid w:val="008D06E8"/>
    <w:rsid w:val="00924436"/>
    <w:rsid w:val="00963B59"/>
    <w:rsid w:val="009B58A2"/>
    <w:rsid w:val="00A224C5"/>
    <w:rsid w:val="00A3501C"/>
    <w:rsid w:val="00AA0FBB"/>
    <w:rsid w:val="00B10B57"/>
    <w:rsid w:val="00B13569"/>
    <w:rsid w:val="00B235B2"/>
    <w:rsid w:val="00B4397C"/>
    <w:rsid w:val="00BB49C4"/>
    <w:rsid w:val="00BB6542"/>
    <w:rsid w:val="00CB46F1"/>
    <w:rsid w:val="00CD3318"/>
    <w:rsid w:val="00D07647"/>
    <w:rsid w:val="00D62DDE"/>
    <w:rsid w:val="00D72A57"/>
    <w:rsid w:val="00D74283"/>
    <w:rsid w:val="00DA61B5"/>
    <w:rsid w:val="00DD446C"/>
    <w:rsid w:val="00DE0F8F"/>
    <w:rsid w:val="00ED7C5E"/>
    <w:rsid w:val="00F053D4"/>
    <w:rsid w:val="00F168B1"/>
    <w:rsid w:val="00F25E61"/>
    <w:rsid w:val="00F43F44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014BC1"/>
    <w:rPr>
      <w:sz w:val="19"/>
      <w:szCs w:val="19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014BC1"/>
    <w:pPr>
      <w:shd w:val="clear" w:color="auto" w:fill="FFFFFF"/>
      <w:spacing w:line="210" w:lineRule="exact"/>
    </w:pPr>
    <w:rPr>
      <w:rFonts w:ascii="Calibri" w:eastAsia="Calibri" w:hAnsi="Calibri"/>
      <w:color w:val="auto"/>
      <w:sz w:val="19"/>
      <w:szCs w:val="19"/>
      <w:lang w:val="pt-BR" w:eastAsia="en-US" w:bidi="ar-SA"/>
    </w:rPr>
  </w:style>
  <w:style w:type="character" w:customStyle="1" w:styleId="MSGENFONTSTYLENAMETEMPLATEROLENUMBERMSGENFONTSTYLENAMEBYROLETEXT12MSGENFONTSTYLEMODIFERSIZE85">
    <w:name w:val="MSG_EN_FONT_STYLE_NAME_TEMPLATE_ROLE_NUMBER MSG_EN_FONT_STYLE_NAME_BY_ROLE_TEXT 12 + MSG_EN_FONT_STYLE_MODIFER_SIZE 8.5"/>
    <w:rsid w:val="00014BC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6B0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B00CE"/>
    <w:rPr>
      <w:rFonts w:ascii="Times New Roman" w:eastAsia="Times New Roman" w:hAnsi="Times New Roman"/>
      <w:color w:val="00000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0CE"/>
    <w:rPr>
      <w:rFonts w:ascii="Times New Roman" w:eastAsia="Times New Roman" w:hAnsi="Times New Roman"/>
      <w:b/>
      <w:bCs/>
      <w:color w:val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0CE"/>
    <w:rPr>
      <w:rFonts w:ascii="Tahoma" w:eastAsia="Times New Roman" w:hAnsi="Tahoma" w:cs="Tahoma"/>
      <w:color w:val="000000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D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014BC1"/>
    <w:rPr>
      <w:sz w:val="19"/>
      <w:szCs w:val="19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014BC1"/>
    <w:pPr>
      <w:shd w:val="clear" w:color="auto" w:fill="FFFFFF"/>
      <w:spacing w:line="210" w:lineRule="exact"/>
    </w:pPr>
    <w:rPr>
      <w:rFonts w:ascii="Calibri" w:eastAsia="Calibri" w:hAnsi="Calibri"/>
      <w:color w:val="auto"/>
      <w:sz w:val="19"/>
      <w:szCs w:val="19"/>
      <w:lang w:val="pt-BR" w:eastAsia="en-US" w:bidi="ar-SA"/>
    </w:rPr>
  </w:style>
  <w:style w:type="character" w:customStyle="1" w:styleId="MSGENFONTSTYLENAMETEMPLATEROLENUMBERMSGENFONTSTYLENAMEBYROLETEXT12MSGENFONTSTYLEMODIFERSIZE85">
    <w:name w:val="MSG_EN_FONT_STYLE_NAME_TEMPLATE_ROLE_NUMBER MSG_EN_FONT_STYLE_NAME_BY_ROLE_TEXT 12 + MSG_EN_FONT_STYLE_MODIFER_SIZE 8.5"/>
    <w:rsid w:val="00014BC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6B0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B00CE"/>
    <w:rPr>
      <w:rFonts w:ascii="Times New Roman" w:eastAsia="Times New Roman" w:hAnsi="Times New Roman"/>
      <w:color w:val="00000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0CE"/>
    <w:rPr>
      <w:rFonts w:ascii="Times New Roman" w:eastAsia="Times New Roman" w:hAnsi="Times New Roman"/>
      <w:b/>
      <w:bCs/>
      <w:color w:val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0CE"/>
    <w:rPr>
      <w:rFonts w:ascii="Tahoma" w:eastAsia="Times New Roman" w:hAnsi="Tahoma" w:cs="Tahoma"/>
      <w:color w:val="000000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D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186C-B8AC-46E2-9C8A-D089683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HEMONTE</dc:creator>
  <cp:lastModifiedBy>DLC-PC</cp:lastModifiedBy>
  <cp:revision>9</cp:revision>
  <dcterms:created xsi:type="dcterms:W3CDTF">2018-08-24T19:19:00Z</dcterms:created>
  <dcterms:modified xsi:type="dcterms:W3CDTF">2018-08-27T13:32:00Z</dcterms:modified>
</cp:coreProperties>
</file>