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E4AB" w14:textId="5397E2AE" w:rsidR="009E0C5A" w:rsidRPr="00905055" w:rsidRDefault="009E0C5A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LISTA DE VERIFICAÇÃO</w:t>
      </w:r>
      <w:r w:rsidR="00AA3238">
        <w:rPr>
          <w:rFonts w:asciiTheme="minorHAnsi" w:hAnsiTheme="minorHAnsi" w:cstheme="minorHAnsi"/>
          <w:b/>
          <w:bCs/>
        </w:rPr>
        <w:t xml:space="preserve"> - 01</w:t>
      </w:r>
    </w:p>
    <w:p w14:paraId="55AE9D71" w14:textId="5FB0F449" w:rsidR="005F690B" w:rsidRDefault="00BF6AC2" w:rsidP="009E0C5A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ELEMENTOS DO PROCESSO DE</w:t>
      </w:r>
      <w:r w:rsidR="00D655A9">
        <w:rPr>
          <w:rFonts w:asciiTheme="minorHAnsi" w:hAnsiTheme="minorHAnsi" w:cstheme="minorHAnsi"/>
          <w:b/>
          <w:bCs/>
        </w:rPr>
        <w:t xml:space="preserve"> AQUISIÇÃO</w:t>
      </w:r>
      <w:r w:rsidRPr="00905055">
        <w:rPr>
          <w:rFonts w:asciiTheme="minorHAnsi" w:hAnsiTheme="minorHAnsi" w:cstheme="minorHAnsi"/>
          <w:b/>
          <w:bCs/>
        </w:rPr>
        <w:t xml:space="preserve"> </w:t>
      </w:r>
      <w:r w:rsidR="00D655A9">
        <w:rPr>
          <w:rFonts w:asciiTheme="minorHAnsi" w:hAnsiTheme="minorHAnsi" w:cstheme="minorHAnsi"/>
          <w:b/>
          <w:bCs/>
        </w:rPr>
        <w:t>BENS</w:t>
      </w:r>
      <w:r w:rsidRPr="00905055">
        <w:rPr>
          <w:rFonts w:asciiTheme="minorHAnsi" w:hAnsiTheme="minorHAnsi" w:cstheme="minorHAnsi"/>
          <w:b/>
          <w:bCs/>
        </w:rPr>
        <w:t xml:space="preserve"> / SERVIÇO</w:t>
      </w:r>
      <w:r w:rsidR="00D655A9">
        <w:rPr>
          <w:rFonts w:asciiTheme="minorHAnsi" w:hAnsiTheme="minorHAnsi" w:cstheme="minorHAnsi"/>
          <w:b/>
          <w:bCs/>
        </w:rPr>
        <w:t>S POR PREGÃO ELETRÔNICO</w:t>
      </w:r>
    </w:p>
    <w:p w14:paraId="17D9D51A" w14:textId="1AD0FA00" w:rsidR="00D70F77" w:rsidRPr="00905055" w:rsidRDefault="00D70F77" w:rsidP="009E0C5A">
      <w:pPr>
        <w:jc w:val="center"/>
        <w:rPr>
          <w:rFonts w:asciiTheme="minorHAnsi" w:hAnsiTheme="minorHAnsi" w:cstheme="minorHAnsi"/>
          <w:sz w:val="28"/>
        </w:rPr>
      </w:pPr>
      <w:r w:rsidRPr="00D70F77">
        <w:rPr>
          <w:rFonts w:asciiTheme="minorHAnsi" w:hAnsiTheme="minorHAnsi" w:cstheme="minorHAnsi"/>
          <w:b/>
        </w:rPr>
        <w:t>Fase de Planejamento e Elaboração de Termo de Referência</w:t>
      </w:r>
    </w:p>
    <w:p w14:paraId="05E23B15" w14:textId="12790FF0" w:rsidR="009E0C5A" w:rsidRPr="00905055" w:rsidRDefault="009E0C5A" w:rsidP="009E0C5A">
      <w:pPr>
        <w:rPr>
          <w:rFonts w:asciiTheme="minorHAnsi" w:hAnsiTheme="minorHAnsi" w:cstheme="minorHAnsi"/>
        </w:rPr>
      </w:pPr>
      <w:r w:rsidRPr="00905055">
        <w:rPr>
          <w:rFonts w:asciiTheme="minorHAnsi" w:hAnsiTheme="minorHAnsi" w:cstheme="minorHAnsi"/>
        </w:rPr>
        <w:t xml:space="preserve">São os atos administrativos e documentos previstos </w:t>
      </w:r>
      <w:r w:rsidR="00BD12A5" w:rsidRPr="00905055">
        <w:rPr>
          <w:rFonts w:asciiTheme="minorHAnsi" w:hAnsiTheme="minorHAnsi" w:cstheme="minorHAnsi"/>
        </w:rPr>
        <w:t xml:space="preserve">na lei nº </w:t>
      </w:r>
      <w:r w:rsidRPr="00905055">
        <w:rPr>
          <w:rFonts w:asciiTheme="minorHAnsi" w:hAnsiTheme="minorHAnsi" w:cstheme="minorHAnsi"/>
        </w:rPr>
        <w:t>10.520/02, nos Decretos n</w:t>
      </w:r>
      <w:r w:rsidRPr="00905055">
        <w:rPr>
          <w:rFonts w:asciiTheme="minorHAnsi" w:hAnsiTheme="minorHAnsi" w:cstheme="minorHAnsi"/>
          <w:vertAlign w:val="superscript"/>
        </w:rPr>
        <w:t>os</w:t>
      </w:r>
      <w:r w:rsidRPr="00905055">
        <w:rPr>
          <w:rFonts w:asciiTheme="minorHAnsi" w:hAnsiTheme="minorHAnsi" w:cstheme="minorHAnsi"/>
        </w:rPr>
        <w:t xml:space="preserve"> </w:t>
      </w:r>
      <w:r w:rsidR="00BD12A5" w:rsidRPr="00905055">
        <w:rPr>
          <w:rFonts w:asciiTheme="minorHAnsi" w:hAnsiTheme="minorHAnsi" w:cstheme="minorHAnsi"/>
        </w:rPr>
        <w:t>7.892/13</w:t>
      </w:r>
      <w:r w:rsidRPr="00905055">
        <w:rPr>
          <w:rFonts w:asciiTheme="minorHAnsi" w:hAnsiTheme="minorHAnsi" w:cstheme="minorHAnsi"/>
        </w:rPr>
        <w:t xml:space="preserve"> e 5.450/05 </w:t>
      </w:r>
      <w:r w:rsidR="00BD12A5" w:rsidRPr="00905055">
        <w:rPr>
          <w:rFonts w:asciiTheme="minorHAnsi" w:hAnsiTheme="minorHAnsi" w:cstheme="minorHAnsi"/>
        </w:rPr>
        <w:t xml:space="preserve">e, subsidiariamente, na lei nº 8.666/93, </w:t>
      </w:r>
      <w:r w:rsidRPr="00905055">
        <w:rPr>
          <w:rFonts w:asciiTheme="minorHAnsi" w:hAnsiTheme="minorHAnsi" w:cstheme="minorHAnsi"/>
        </w:rPr>
        <w:t xml:space="preserve">necessários à instrução </w:t>
      </w:r>
      <w:r w:rsidR="00922548">
        <w:rPr>
          <w:rFonts w:asciiTheme="minorHAnsi" w:hAnsiTheme="minorHAnsi" w:cstheme="minorHAnsi"/>
        </w:rPr>
        <w:t xml:space="preserve">da </w:t>
      </w:r>
      <w:r w:rsidR="00922548" w:rsidRPr="00D70F77">
        <w:rPr>
          <w:rFonts w:asciiTheme="minorHAnsi" w:hAnsiTheme="minorHAnsi" w:cstheme="minorHAnsi"/>
          <w:b/>
        </w:rPr>
        <w:t>Fase de Planejamento e Elaboração de Termo de Referência</w:t>
      </w:r>
      <w:r w:rsidRPr="00905055">
        <w:rPr>
          <w:rFonts w:asciiTheme="minorHAnsi" w:hAnsiTheme="minorHAnsi" w:cstheme="minorHAnsi"/>
        </w:rPr>
        <w:t xml:space="preserve"> do procedimento na modalidade pregão, no formato eletrônico:</w:t>
      </w:r>
    </w:p>
    <w:p w14:paraId="3F8BA9F8" w14:textId="77777777" w:rsidR="00A11B9E" w:rsidRPr="00905055" w:rsidRDefault="00A11B9E" w:rsidP="009E0C5A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BB15D2" w:rsidRPr="00905055" w14:paraId="69BDB8A7" w14:textId="77777777" w:rsidTr="000D4781">
        <w:trPr>
          <w:jc w:val="center"/>
        </w:trPr>
        <w:tc>
          <w:tcPr>
            <w:tcW w:w="6168" w:type="dxa"/>
            <w:gridSpan w:val="2"/>
          </w:tcPr>
          <w:p w14:paraId="7555702F" w14:textId="59DF44B4" w:rsidR="00BB15D2" w:rsidRPr="00905055" w:rsidRDefault="00BB15D2" w:rsidP="009E0C5A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Processo nº</w:t>
            </w:r>
          </w:p>
        </w:tc>
      </w:tr>
      <w:tr w:rsidR="003B266F" w:rsidRPr="00905055" w14:paraId="5D4764E3" w14:textId="77777777" w:rsidTr="00BB15D2">
        <w:trPr>
          <w:jc w:val="center"/>
        </w:trPr>
        <w:tc>
          <w:tcPr>
            <w:tcW w:w="3260" w:type="dxa"/>
          </w:tcPr>
          <w:p w14:paraId="2E61C8FE" w14:textId="1B6B6364" w:rsidR="003B266F" w:rsidRPr="00905055" w:rsidRDefault="00C94E08" w:rsidP="00A11B9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6CA7" wp14:editId="23E9FB93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72721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7AA1DB" id="Retângulo 1" o:spid="_x0000_s1026" style="position:absolute;margin-left:113.05pt;margin-top:5.75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5E0F" wp14:editId="0F387BFF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5DEE7E" id="Retângulo 3" o:spid="_x0000_s1026" style="position:absolute;margin-left:41.15pt;margin-top:5.85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Material </w: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3B266F" w:rsidRPr="00905055">
              <w:rPr>
                <w:rFonts w:asciiTheme="minorHAnsi" w:hAnsiTheme="minorHAnsi" w:cstheme="minorHAnsi"/>
                <w:bCs/>
                <w:sz w:val="20"/>
              </w:rPr>
              <w:t xml:space="preserve">Serviço </w:t>
            </w:r>
          </w:p>
        </w:tc>
        <w:tc>
          <w:tcPr>
            <w:tcW w:w="2908" w:type="dxa"/>
          </w:tcPr>
          <w:p w14:paraId="78688872" w14:textId="01D0B2CC" w:rsidR="003B266F" w:rsidRPr="00905055" w:rsidRDefault="00C94E08" w:rsidP="00C94E08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F05C4" wp14:editId="56D3126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5FCDCA" id="Retângulo 5" o:spid="_x0000_s1026" style="position:absolute;margin-left:100.95pt;margin-top:5.2pt;width:28.1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BB15D2"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50435" wp14:editId="76989683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FE7E6C" id="Retângulo 4" o:spid="_x0000_s1026" style="position:absolute;margin-left:42.8pt;margin-top:5.2pt;width:28.1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A11B9E" w:rsidRPr="00905055">
              <w:rPr>
                <w:rFonts w:asciiTheme="minorHAnsi" w:hAnsiTheme="minorHAnsi" w:cstheme="minorHAnsi"/>
                <w:bCs/>
                <w:sz w:val="20"/>
              </w:rPr>
              <w:t>SRP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 Sim   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         </w: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1782A" w:rsidRPr="00905055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BB15D2" w:rsidRPr="00905055">
              <w:rPr>
                <w:rFonts w:asciiTheme="minorHAnsi" w:hAnsiTheme="minorHAnsi" w:cstheme="minorHAnsi"/>
                <w:bCs/>
                <w:sz w:val="20"/>
              </w:rPr>
              <w:t xml:space="preserve"> Não </w:t>
            </w:r>
          </w:p>
        </w:tc>
      </w:tr>
    </w:tbl>
    <w:p w14:paraId="624F626F" w14:textId="77777777" w:rsidR="003B266F" w:rsidRPr="00905055" w:rsidRDefault="003B266F" w:rsidP="009E0C5A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BB15D2" w:rsidRPr="00905055" w14:paraId="74DC70A6" w14:textId="77777777" w:rsidTr="00C94E08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5E0C08F7" w14:textId="33599839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EC0D070" w14:textId="0F319CA0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60910F6" w14:textId="7BF2485C" w:rsidR="00BB15D2" w:rsidRPr="00905055" w:rsidRDefault="00BB15D2" w:rsidP="00BB15D2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BB15D2" w:rsidRPr="00905055" w14:paraId="5F0E33CA" w14:textId="77777777" w:rsidTr="00C94E08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47DA94DA" w14:textId="527DF844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78D5579" w14:textId="2AE7E113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414DA78" w14:textId="02F74EE6" w:rsidR="00BB15D2" w:rsidRPr="00905055" w:rsidRDefault="00C94E08" w:rsidP="00C94E0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14:paraId="6842DF78" w14:textId="77777777" w:rsidR="00BB15D2" w:rsidRPr="00905055" w:rsidRDefault="00BB15D2" w:rsidP="009E0C5A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W w:w="94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5"/>
        <w:gridCol w:w="722"/>
        <w:gridCol w:w="713"/>
        <w:gridCol w:w="731"/>
      </w:tblGrid>
      <w:tr w:rsidR="00BB15D2" w:rsidRPr="00905055" w14:paraId="292143F7" w14:textId="77777777" w:rsidTr="00905055">
        <w:trPr>
          <w:trHeight w:val="569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24B0C0CD" w:rsidR="00BB15D2" w:rsidRPr="00905055" w:rsidRDefault="00BB15D2" w:rsidP="00A22580">
            <w:pPr>
              <w:jc w:val="center"/>
              <w:rPr>
                <w:rFonts w:asciiTheme="minorHAnsi" w:hAnsiTheme="minorHAnsi" w:cs="Arial"/>
              </w:rPr>
            </w:pPr>
            <w:bookmarkStart w:id="0" w:name="table03"/>
            <w:bookmarkEnd w:id="0"/>
            <w:r w:rsidRPr="00905055">
              <w:rPr>
                <w:rFonts w:asciiTheme="minorHAnsi" w:hAnsiTheme="minorHAnsi" w:cs="Arial"/>
                <w:b/>
                <w:bCs/>
              </w:rPr>
              <w:t>ATOS ADMINISTRATIVOS E DOCUMENTOS A SEREM VERIFICADOS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4552C13D" w:rsidR="00BB15D2" w:rsidRPr="00905055" w:rsidRDefault="00BB15D2" w:rsidP="003956E8">
            <w:pPr>
              <w:jc w:val="center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b/>
                <w:bCs/>
              </w:rPr>
              <w:t>S / N</w:t>
            </w:r>
            <w:r w:rsidR="0020280D">
              <w:rPr>
                <w:rFonts w:asciiTheme="minorHAnsi" w:hAnsiTheme="minorHAnsi" w:cs="Arial"/>
                <w:b/>
                <w:bCs/>
              </w:rPr>
              <w:t xml:space="preserve"> / N</w:t>
            </w:r>
            <w:r w:rsidR="004E06F5">
              <w:rPr>
                <w:rFonts w:asciiTheme="minorHAnsi" w:hAnsiTheme="minorHAnsi" w:cs="Arial"/>
                <w:b/>
                <w:bCs/>
              </w:rPr>
              <w:t>/</w:t>
            </w:r>
            <w:r w:rsidR="0020280D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7DF4" w14:textId="3BE9B886" w:rsidR="00BB15D2" w:rsidRPr="00905055" w:rsidRDefault="004E06F5" w:rsidP="00AF15E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Folha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D53" w14:textId="3A097F60" w:rsidR="00BB15D2" w:rsidRPr="00905055" w:rsidRDefault="004E06F5" w:rsidP="00AF15E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RU</w:t>
            </w:r>
            <w:bookmarkStart w:id="1" w:name="_GoBack"/>
            <w:bookmarkEnd w:id="1"/>
            <w:r>
              <w:rPr>
                <w:rFonts w:asciiTheme="minorHAnsi" w:hAnsiTheme="minorHAnsi" w:cs="Arial"/>
                <w:b/>
                <w:bCs/>
              </w:rPr>
              <w:t>B</w:t>
            </w:r>
          </w:p>
        </w:tc>
      </w:tr>
      <w:tr w:rsidR="00BB15D2" w:rsidRPr="00905055" w14:paraId="4DE45D41" w14:textId="77777777" w:rsidTr="00BB15D2">
        <w:trPr>
          <w:trHeight w:val="113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1205F674" w:rsidR="00BB15D2" w:rsidRPr="00905055" w:rsidRDefault="00BB15D2" w:rsidP="005C040F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1. Abertura de processo administrativo devidamente autuado, protocolado e numerado (art. 38, caput, da Lei nº 8.666/93, </w:t>
            </w:r>
            <w:r w:rsidRPr="00905055">
              <w:rPr>
                <w:rFonts w:asciiTheme="minorHAnsi" w:hAnsiTheme="minorHAnsi" w:cs="Arial"/>
                <w:color w:val="000000"/>
              </w:rPr>
              <w:t>ou registrado quando processo eletrônico</w:t>
            </w:r>
            <w:r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47BAD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2E0FDAC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5EA303FA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DA6D6A" w14:textId="62FED3FA" w:rsidR="00BB15D2" w:rsidRPr="00905055" w:rsidRDefault="00BB15D2" w:rsidP="00A22580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 Consta a solicitação/requisição do objeto, elaborada pelo agente ou setor competente assinada pela autoridade competente da unidade? Acórdão 254/2004-Segunda Câmara-TCU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FD8A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27D686D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4D14F23C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D123E" w14:textId="65EF5F0A" w:rsidR="00BB15D2" w:rsidRPr="00905055" w:rsidRDefault="00BB15D2" w:rsidP="00FA6FD5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2.1. A autoridade competente da unidade demandante definiu o objeto do certame de forma precisa, suficiente e clara e é compatível com o objeto da pesquisa de preços, sem direcionamento de marca ou fornecedor?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93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A6BC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5BEE" w14:textId="51280DE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053C53" w:rsidRPr="00905055" w14:paraId="40D3F751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8F01E6" w14:textId="1D257F05" w:rsidR="00053C53" w:rsidRPr="00A775D4" w:rsidRDefault="00053C53" w:rsidP="00053C53">
            <w:pPr>
              <w:rPr>
                <w:rFonts w:asciiTheme="minorHAnsi" w:hAnsiTheme="minorHAnsi" w:cs="Arial"/>
                <w:highlight w:val="green"/>
              </w:rPr>
            </w:pPr>
            <w:r>
              <w:rPr>
                <w:rFonts w:asciiTheme="minorHAnsi" w:hAnsiTheme="minorHAnsi" w:cs="Arial"/>
                <w:highlight w:val="green"/>
              </w:rPr>
              <w:t>2.1.1. Consta dos autos a requisição da contratação (compra) no Sistema Integrado de Patrimônio, Administração e Contratos da UFPE (SIPAC</w:t>
            </w:r>
            <w:proofErr w:type="gramStart"/>
            <w:r>
              <w:rPr>
                <w:rFonts w:asciiTheme="minorHAnsi" w:hAnsiTheme="minorHAnsi" w:cs="Arial"/>
                <w:highlight w:val="green"/>
              </w:rPr>
              <w:t>)</w:t>
            </w:r>
            <w:proofErr w:type="gramEnd"/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8ACD2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ACD15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A5B79" w14:textId="77777777" w:rsidR="00053C53" w:rsidRPr="00905055" w:rsidRDefault="00053C53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775D4" w:rsidRPr="00905055" w14:paraId="6C2F1BA8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0B5709" w14:textId="1F8905A3" w:rsidR="00A775D4" w:rsidRPr="00905055" w:rsidRDefault="00A775D4" w:rsidP="00FA6FD5">
            <w:pPr>
              <w:rPr>
                <w:rFonts w:asciiTheme="minorHAnsi" w:hAnsiTheme="minorHAnsi" w:cs="Arial"/>
              </w:rPr>
            </w:pPr>
            <w:r w:rsidRPr="00A775D4">
              <w:rPr>
                <w:rFonts w:asciiTheme="minorHAnsi" w:hAnsiTheme="minorHAnsi" w:cs="Arial"/>
                <w:highlight w:val="green"/>
              </w:rPr>
              <w:t>2.2. Consta dos autos o Documento de Formalização de Demanda nos termos da IN nº 05/17 SEGES/MPDG?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6CBB7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1DDFC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DD05B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FB2FBDF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DC7AFE" w14:textId="6DFC5610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</w:t>
            </w:r>
            <w:r w:rsidR="00A775D4">
              <w:rPr>
                <w:rFonts w:asciiTheme="minorHAnsi" w:hAnsiTheme="minorHAnsi" w:cs="Arial"/>
              </w:rPr>
              <w:t>3</w:t>
            </w:r>
            <w:r w:rsidRPr="00905055">
              <w:rPr>
                <w:rFonts w:asciiTheme="minorHAnsi" w:hAnsiTheme="minorHAnsi" w:cs="Arial"/>
              </w:rPr>
              <w:t>. Há justificativa fundamentada da necessidade da contratação e dos quantitativos (bens/serviços) requisitados, tais como demonstrativo de consumo dos exercícios anteriores, relatórios do almoxarifado e/ou outros dados objetivos que demonstrem o dimensionamento adequado da aquisição/contratação, com aprovação da Autoridade Competente?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2EB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010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76D5C" w14:textId="0CF66E3E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4C5015" w:rsidRPr="00905055" w14:paraId="4055BD1D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503831" w14:textId="3CF764DE" w:rsidR="004C5015" w:rsidRPr="00905055" w:rsidRDefault="004C5015" w:rsidP="007B7624">
            <w:pPr>
              <w:rPr>
                <w:rFonts w:asciiTheme="minorHAnsi" w:hAnsiTheme="minorHAnsi" w:cs="Arial"/>
              </w:rPr>
            </w:pPr>
            <w:r w:rsidRPr="004C5015">
              <w:rPr>
                <w:rFonts w:asciiTheme="minorHAnsi" w:hAnsiTheme="minorHAnsi" w:cs="Arial"/>
                <w:highlight w:val="green"/>
              </w:rPr>
              <w:lastRenderedPageBreak/>
              <w:t xml:space="preserve">2.3.1. No caso de </w:t>
            </w:r>
            <w:r w:rsidRPr="004C5015">
              <w:rPr>
                <w:rFonts w:asciiTheme="minorHAnsi" w:hAnsiTheme="minorHAnsi" w:cs="Arial"/>
                <w:b/>
                <w:highlight w:val="green"/>
              </w:rPr>
              <w:t>Serviços</w:t>
            </w:r>
            <w:r w:rsidRPr="004C5015">
              <w:rPr>
                <w:rFonts w:asciiTheme="minorHAnsi" w:hAnsiTheme="minorHAnsi" w:cs="Arial"/>
                <w:highlight w:val="green"/>
              </w:rPr>
              <w:t xml:space="preserve"> consta a Portaria de Designação da Equipe de Planejamento da Contratação?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66A7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6C6A5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F87B2" w14:textId="77777777" w:rsidR="004C5015" w:rsidRPr="00905055" w:rsidRDefault="004C501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775D4" w:rsidRPr="00905055" w14:paraId="70FFB4D0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8669A3" w14:textId="7E4CACB3" w:rsidR="00A775D4" w:rsidRPr="00905055" w:rsidRDefault="00A775D4" w:rsidP="007B7624">
            <w:pPr>
              <w:rPr>
                <w:rFonts w:asciiTheme="minorHAnsi" w:hAnsiTheme="minorHAnsi" w:cs="Arial"/>
              </w:rPr>
            </w:pPr>
            <w:r w:rsidRPr="00CB4441">
              <w:rPr>
                <w:rFonts w:asciiTheme="minorHAnsi" w:hAnsiTheme="minorHAnsi" w:cs="Arial"/>
                <w:highlight w:val="green"/>
              </w:rPr>
              <w:t>2.3.</w:t>
            </w:r>
            <w:r w:rsidR="004C5015">
              <w:rPr>
                <w:rFonts w:asciiTheme="minorHAnsi" w:hAnsiTheme="minorHAnsi" w:cs="Arial"/>
                <w:highlight w:val="green"/>
              </w:rPr>
              <w:t>2.</w:t>
            </w:r>
            <w:r w:rsidRPr="00CB4441">
              <w:rPr>
                <w:rFonts w:asciiTheme="minorHAnsi" w:hAnsiTheme="minorHAnsi" w:cs="Arial"/>
                <w:highlight w:val="green"/>
              </w:rPr>
              <w:t xml:space="preserve"> No caso </w:t>
            </w:r>
            <w:r w:rsidRPr="00006AE8">
              <w:rPr>
                <w:rFonts w:asciiTheme="minorHAnsi" w:hAnsiTheme="minorHAnsi" w:cs="Arial"/>
                <w:highlight w:val="green"/>
              </w:rPr>
              <w:t xml:space="preserve">de </w:t>
            </w:r>
            <w:r w:rsidRPr="00006AE8">
              <w:rPr>
                <w:rFonts w:asciiTheme="minorHAnsi" w:hAnsiTheme="minorHAnsi" w:cs="Arial"/>
                <w:b/>
                <w:highlight w:val="green"/>
              </w:rPr>
              <w:t>Serviços</w:t>
            </w:r>
            <w:r w:rsidRPr="00006AE8">
              <w:rPr>
                <w:rFonts w:asciiTheme="minorHAnsi" w:hAnsiTheme="minorHAnsi" w:cs="Arial"/>
                <w:highlight w:val="green"/>
              </w:rPr>
              <w:t xml:space="preserve"> consta o </w:t>
            </w:r>
            <w:r w:rsidRPr="001C24AD">
              <w:rPr>
                <w:rFonts w:asciiTheme="minorHAnsi" w:hAnsiTheme="minorHAnsi" w:cs="Arial"/>
                <w:b/>
                <w:highlight w:val="green"/>
              </w:rPr>
              <w:t>Estudo Técnico Preliminar</w:t>
            </w:r>
            <w:r w:rsidRPr="00006AE8">
              <w:rPr>
                <w:rFonts w:asciiTheme="minorHAnsi" w:hAnsiTheme="minorHAnsi" w:cs="Arial"/>
                <w:highlight w:val="green"/>
              </w:rPr>
              <w:t xml:space="preserve"> em conformidade com as diretrizes</w:t>
            </w:r>
            <w:r w:rsidR="00006AE8" w:rsidRPr="00006AE8">
              <w:rPr>
                <w:rFonts w:asciiTheme="minorHAnsi" w:hAnsiTheme="minorHAnsi" w:cs="Arial"/>
                <w:highlight w:val="green"/>
              </w:rPr>
              <w:t xml:space="preserve"> do Anexo III da IN nº 05/2017 SEGES/MPDG – com modelo (UFPE) disposto na página da PROGEST (Aba ORIENTAÇÕES - https://www.ufpe.br/progest/orientacoes);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F7B44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8ACA8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4716A" w14:textId="77777777" w:rsidR="00A775D4" w:rsidRPr="00905055" w:rsidRDefault="00A775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24AD" w:rsidRPr="00905055" w14:paraId="0D9FA669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2DD211" w14:textId="79370851" w:rsidR="001C24AD" w:rsidRPr="00905055" w:rsidRDefault="001C24AD" w:rsidP="007B7624">
            <w:pPr>
              <w:rPr>
                <w:rFonts w:asciiTheme="minorHAnsi" w:hAnsiTheme="minorHAnsi" w:cs="Arial"/>
              </w:rPr>
            </w:pPr>
            <w:r w:rsidRPr="00CB4441">
              <w:rPr>
                <w:rFonts w:asciiTheme="minorHAnsi" w:hAnsiTheme="minorHAnsi" w:cs="Arial"/>
                <w:highlight w:val="green"/>
              </w:rPr>
              <w:t>2.3.</w:t>
            </w:r>
            <w:r w:rsidR="004C5015">
              <w:rPr>
                <w:rFonts w:asciiTheme="minorHAnsi" w:hAnsiTheme="minorHAnsi" w:cs="Arial"/>
                <w:highlight w:val="green"/>
              </w:rPr>
              <w:t>3</w:t>
            </w:r>
            <w:r w:rsidRPr="00CB4441">
              <w:rPr>
                <w:rFonts w:asciiTheme="minorHAnsi" w:hAnsiTheme="minorHAnsi" w:cs="Arial"/>
                <w:highlight w:val="green"/>
              </w:rPr>
              <w:t xml:space="preserve">. No </w:t>
            </w:r>
            <w:r w:rsidRPr="001C24AD">
              <w:rPr>
                <w:rFonts w:asciiTheme="minorHAnsi" w:hAnsiTheme="minorHAnsi" w:cs="Arial"/>
                <w:highlight w:val="green"/>
              </w:rPr>
              <w:t xml:space="preserve">caso de </w:t>
            </w:r>
            <w:r w:rsidRPr="001C24AD">
              <w:rPr>
                <w:rFonts w:asciiTheme="minorHAnsi" w:hAnsiTheme="minorHAnsi" w:cs="Arial"/>
                <w:b/>
                <w:highlight w:val="green"/>
              </w:rPr>
              <w:t>Serviços</w:t>
            </w:r>
            <w:r w:rsidRPr="001C24AD">
              <w:rPr>
                <w:rFonts w:asciiTheme="minorHAnsi" w:hAnsiTheme="minorHAnsi" w:cs="Arial"/>
                <w:highlight w:val="green"/>
              </w:rPr>
              <w:t xml:space="preserve"> consta a </w:t>
            </w:r>
            <w:r w:rsidRPr="001C24AD">
              <w:rPr>
                <w:rFonts w:asciiTheme="minorHAnsi" w:hAnsiTheme="minorHAnsi" w:cs="Arial"/>
                <w:b/>
                <w:highlight w:val="green"/>
              </w:rPr>
              <w:t>Gestão de Riscos</w:t>
            </w:r>
            <w:r w:rsidRPr="001C24AD">
              <w:rPr>
                <w:rFonts w:asciiTheme="minorHAnsi" w:hAnsiTheme="minorHAnsi" w:cs="Arial"/>
                <w:highlight w:val="green"/>
              </w:rPr>
              <w:t xml:space="preserve"> em conformidade com os </w:t>
            </w:r>
            <w:proofErr w:type="spellStart"/>
            <w:r w:rsidRPr="001C24AD">
              <w:rPr>
                <w:rFonts w:asciiTheme="minorHAnsi" w:hAnsiTheme="minorHAnsi" w:cs="Arial"/>
                <w:highlight w:val="green"/>
              </w:rPr>
              <w:t>a</w:t>
            </w:r>
            <w:r w:rsidRPr="001C24AD">
              <w:rPr>
                <w:rFonts w:ascii="Calibri" w:hAnsi="Calibri" w:cs="Arial"/>
                <w:highlight w:val="green"/>
                <w:shd w:val="clear" w:color="auto" w:fill="FFFFFF"/>
              </w:rPr>
              <w:t>rts</w:t>
            </w:r>
            <w:proofErr w:type="spellEnd"/>
            <w:r w:rsidRPr="001C24AD">
              <w:rPr>
                <w:rFonts w:ascii="Calibri" w:hAnsi="Calibri" w:cs="Arial"/>
                <w:highlight w:val="green"/>
                <w:shd w:val="clear" w:color="auto" w:fill="FFFFFF"/>
              </w:rPr>
              <w:t xml:space="preserve">. 25 e26 </w:t>
            </w:r>
            <w:r w:rsidRPr="001C24AD">
              <w:rPr>
                <w:rFonts w:asciiTheme="minorHAnsi" w:hAnsiTheme="minorHAnsi" w:cs="Arial"/>
                <w:highlight w:val="green"/>
              </w:rPr>
              <w:t xml:space="preserve">  Anexo IV da IN nº 05/2017 SEGES/MPDG – com modelo (UFPE) disposto na página da PROGEST (Aba ORIENTAÇÕES - https://www.ufpe.br/progest/orientacoes);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0AE12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9E7D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6F2DC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C24AD" w:rsidRPr="00905055" w14:paraId="3F1C1AA2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77F8FA8" w14:textId="6FF57AEE" w:rsidR="001C24AD" w:rsidRDefault="00CB4441" w:rsidP="007B76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highlight w:val="green"/>
              </w:rPr>
              <w:t>2.3.</w:t>
            </w:r>
            <w:r w:rsidR="004C5015">
              <w:rPr>
                <w:rFonts w:asciiTheme="minorHAnsi" w:hAnsiTheme="minorHAnsi" w:cs="Arial"/>
                <w:highlight w:val="green"/>
              </w:rPr>
              <w:t>4</w:t>
            </w:r>
            <w:r>
              <w:rPr>
                <w:rFonts w:asciiTheme="minorHAnsi" w:hAnsiTheme="minorHAnsi" w:cs="Arial"/>
                <w:highlight w:val="green"/>
              </w:rPr>
              <w:t xml:space="preserve">. </w:t>
            </w:r>
            <w:r w:rsidRPr="00CB4441">
              <w:rPr>
                <w:rFonts w:asciiTheme="minorHAnsi" w:hAnsiTheme="minorHAnsi" w:cs="Arial"/>
                <w:highlight w:val="green"/>
              </w:rPr>
              <w:t xml:space="preserve">No caso de </w:t>
            </w:r>
            <w:r w:rsidRPr="00CB4441">
              <w:rPr>
                <w:rFonts w:asciiTheme="minorHAnsi" w:hAnsiTheme="minorHAnsi" w:cs="Arial"/>
                <w:b/>
                <w:highlight w:val="green"/>
              </w:rPr>
              <w:t>Serviços</w:t>
            </w:r>
            <w:r w:rsidRPr="00CB4441">
              <w:rPr>
                <w:rFonts w:asciiTheme="minorHAnsi" w:hAnsiTheme="minorHAnsi" w:cs="Arial"/>
                <w:highlight w:val="green"/>
              </w:rPr>
              <w:t xml:space="preserve"> consta o </w:t>
            </w:r>
            <w:r w:rsidRPr="00CB4441">
              <w:rPr>
                <w:rFonts w:asciiTheme="minorHAnsi" w:hAnsiTheme="minorHAnsi" w:cs="Arial"/>
                <w:b/>
                <w:highlight w:val="green"/>
              </w:rPr>
              <w:t>Instrumento de Medição de Resultados</w:t>
            </w:r>
            <w:r>
              <w:rPr>
                <w:rFonts w:asciiTheme="minorHAnsi" w:hAnsiTheme="minorHAnsi" w:cs="Arial"/>
                <w:b/>
                <w:highlight w:val="green"/>
              </w:rPr>
              <w:t>, quando couber,</w:t>
            </w:r>
            <w:r w:rsidRPr="00CB4441">
              <w:rPr>
                <w:rFonts w:asciiTheme="minorHAnsi" w:hAnsiTheme="minorHAnsi" w:cs="Arial"/>
                <w:highlight w:val="green"/>
              </w:rPr>
              <w:t xml:space="preserve"> em conformidade com o ANEXO V-B - MODELO DE INSTRUMENTO DE MEDIÇÃO DE RESULTADO (IMR) da IN nº 05/2017 SEGES/MPDG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6FBF8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2E10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CF4E7" w14:textId="77777777" w:rsidR="001C24AD" w:rsidRPr="00905055" w:rsidRDefault="001C24AD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A4CD2F9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335639" w14:textId="07E8B07B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</w:t>
            </w:r>
            <w:r w:rsidRPr="00922548">
              <w:rPr>
                <w:rFonts w:asciiTheme="minorHAnsi" w:hAnsiTheme="minorHAnsi" w:cs="Arial"/>
              </w:rPr>
              <w:t>.</w:t>
            </w:r>
            <w:r w:rsidR="00A775D4">
              <w:rPr>
                <w:rFonts w:asciiTheme="minorHAnsi" w:hAnsiTheme="minorHAnsi" w:cs="Arial"/>
              </w:rPr>
              <w:t>4</w:t>
            </w:r>
            <w:r w:rsidRPr="00922548">
              <w:rPr>
                <w:rFonts w:asciiTheme="minorHAnsi" w:hAnsiTheme="minorHAnsi" w:cs="Arial"/>
              </w:rPr>
              <w:t>. 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C40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B19D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08CB9" w14:textId="66649F2B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316C6BE" w14:textId="77777777" w:rsidTr="00BB15D2">
        <w:trPr>
          <w:trHeight w:val="74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8A0390E" w14:textId="0BCA8762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2.</w:t>
            </w:r>
            <w:r w:rsidR="0020280D">
              <w:rPr>
                <w:rFonts w:asciiTheme="minorHAnsi" w:hAnsiTheme="minorHAnsi" w:cs="Arial"/>
              </w:rPr>
              <w:t>5</w:t>
            </w:r>
            <w:r w:rsidRPr="00905055">
              <w:rPr>
                <w:rFonts w:asciiTheme="minorHAnsi" w:hAnsiTheme="minorHAnsi" w:cs="Arial"/>
              </w:rPr>
              <w:t>. Há manifestação sobre práticas e/ou critérios de sustentabilidade economicamente viáveis adotados no procedimento licitatório (TCU, Ac. 2.380/2012-2ª Câmara)?</w:t>
            </w:r>
          </w:p>
          <w:p w14:paraId="70757652" w14:textId="65B9CFC9" w:rsidR="00BB15D2" w:rsidRPr="00905055" w:rsidRDefault="00BB15D2" w:rsidP="007B7624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Link: </w:t>
            </w:r>
            <w:hyperlink r:id="rId9" w:tooltip="Instruções sobre sustentabilidade em licitações" w:history="1">
              <w:r w:rsidRPr="00905055">
                <w:rPr>
                  <w:rStyle w:val="Hyperlink"/>
                  <w:rFonts w:asciiTheme="minorHAnsi" w:hAnsiTheme="minorHAnsi" w:cs="Arial"/>
                </w:rPr>
                <w:t>Guia Nacional de Licitações Sustentáveis</w:t>
              </w:r>
            </w:hyperlink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91F9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8E4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4E1B81" w14:textId="1F5B82E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0C117B3" w14:textId="77777777" w:rsidTr="00C94E08">
        <w:trPr>
          <w:trHeight w:val="80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A7BB" w14:textId="2DAB0BF2" w:rsidR="00BB15D2" w:rsidRPr="00905055" w:rsidRDefault="00BB15D2" w:rsidP="005C040F">
            <w:pPr>
              <w:spacing w:before="240"/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 Encontra-se prevista a exigência de amostra ou prova de conceito para algum item? 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7B5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771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D7A3F" w14:textId="143252B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41D11C7" w14:textId="77777777" w:rsidTr="009050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3C2CC6" w14:textId="18FA007E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3.1 A exigência está clara, precisa e acompanhada de metodologia de análise?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E957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7693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323A" w14:textId="3292BA0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1C24F7A" w14:textId="77777777" w:rsidTr="00C94E08">
        <w:trPr>
          <w:trHeight w:val="736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4D50FE" w14:textId="566D0D99" w:rsidR="00BB15D2" w:rsidRPr="00905055" w:rsidRDefault="00BB15D2" w:rsidP="00AF15EC">
            <w:pPr>
              <w:spacing w:before="240"/>
              <w:rPr>
                <w:rFonts w:asciiTheme="minorHAnsi" w:hAnsiTheme="minorHAnsi" w:cs="Arial"/>
                <w:color w:val="000000"/>
              </w:rPr>
            </w:pPr>
            <w:r w:rsidRPr="00905055">
              <w:rPr>
                <w:rFonts w:asciiTheme="minorHAnsi" w:hAnsiTheme="minorHAnsi" w:cs="Arial"/>
                <w:color w:val="000000"/>
              </w:rPr>
              <w:t>3.2 A exigência está prevista na fase de aceitação, após a etapa de lances, e apenas para o vencedor?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9129E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90DDE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BBF1EB" w14:textId="4B8D736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66DE85" w14:textId="77777777" w:rsidTr="00BB15D2">
        <w:trPr>
          <w:trHeight w:val="94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2E24EF06" w:rsidR="00BB15D2" w:rsidRPr="00905055" w:rsidRDefault="00BB15D2" w:rsidP="00AF15EC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 xml:space="preserve">4. Consta a autorização da autoridade competente para a abertura da licitação (art. 38, </w:t>
            </w:r>
            <w:r w:rsidRPr="00905055">
              <w:rPr>
                <w:rFonts w:asciiTheme="minorHAnsi" w:hAnsiTheme="minorHAnsi" w:cs="Arial"/>
                <w:i/>
                <w:iCs/>
              </w:rPr>
              <w:t>caput</w:t>
            </w:r>
            <w:r w:rsidRPr="00905055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 xml:space="preserve">. 8º, III e 30, V, do Decreto 5.450/05 e </w:t>
            </w:r>
            <w:proofErr w:type="spellStart"/>
            <w:r w:rsidRPr="00905055">
              <w:rPr>
                <w:rFonts w:asciiTheme="minorHAnsi" w:hAnsiTheme="minorHAnsi" w:cs="Arial"/>
              </w:rPr>
              <w:t>arts</w:t>
            </w:r>
            <w:proofErr w:type="spellEnd"/>
            <w:r w:rsidRPr="00905055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F23142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2C9DDC8F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259B8B72" w14:textId="77777777" w:rsidTr="00BB15D2">
        <w:trPr>
          <w:trHeight w:val="63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21448CF2" w:rsidR="00BB15D2" w:rsidRPr="00905055" w:rsidRDefault="00BB15D2" w:rsidP="00A41C5E">
            <w:pPr>
              <w:rPr>
                <w:rFonts w:asciiTheme="minorHAnsi" w:hAnsiTheme="minorHAnsi" w:cs="Arial"/>
              </w:rPr>
            </w:pPr>
            <w:r w:rsidRPr="00905055">
              <w:rPr>
                <w:rFonts w:asciiTheme="minorHAnsi" w:hAnsiTheme="minorHAnsi" w:cs="Arial"/>
              </w:rPr>
              <w:t>5 No caso de dispensa da divulgação da Intenção de Registro de Preços – IRP, há justificativa suficiente (art. 4º, §1º, do decreto nº 7.892/13)?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04D6E6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4A04D8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9328F77" w14:textId="77777777" w:rsidTr="00BB15D2">
        <w:trPr>
          <w:trHeight w:val="72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6DEB4F3A" w:rsidR="00BB15D2" w:rsidRPr="00905055" w:rsidRDefault="00BB15D2" w:rsidP="00392767">
            <w:pPr>
              <w:rPr>
                <w:rFonts w:asciiTheme="minorHAnsi" w:hAnsiTheme="minorHAnsi" w:cs="Arial"/>
              </w:rPr>
            </w:pPr>
            <w:r w:rsidRPr="00E272A7">
              <w:rPr>
                <w:rFonts w:asciiTheme="minorHAnsi" w:hAnsiTheme="minorHAnsi" w:cs="Arial"/>
                <w:highlight w:val="green"/>
              </w:rPr>
              <w:t>6.</w:t>
            </w:r>
            <w:r w:rsidR="00E272A7" w:rsidRPr="00E272A7">
              <w:rPr>
                <w:highlight w:val="green"/>
              </w:rPr>
              <w:t xml:space="preserve"> </w:t>
            </w:r>
            <w:r w:rsidR="004A6A95" w:rsidRPr="00110BD3">
              <w:rPr>
                <w:rFonts w:asciiTheme="minorHAnsi" w:hAnsiTheme="minorHAnsi" w:cs="Arial"/>
                <w:highlight w:val="green"/>
              </w:rPr>
              <w:t xml:space="preserve">Há </w:t>
            </w:r>
            <w:r w:rsidR="004A6A95" w:rsidRPr="0020280D">
              <w:rPr>
                <w:rFonts w:asciiTheme="minorHAnsi" w:hAnsiTheme="minorHAnsi" w:cs="Arial"/>
                <w:highlight w:val="green"/>
              </w:rPr>
              <w:t xml:space="preserve">indicação de Gestor e </w:t>
            </w:r>
            <w:r w:rsidR="004E06F5">
              <w:rPr>
                <w:rFonts w:asciiTheme="minorHAnsi" w:hAnsiTheme="minorHAnsi" w:cs="Arial"/>
                <w:highlight w:val="green"/>
              </w:rPr>
              <w:t>Substituto</w:t>
            </w:r>
            <w:r w:rsidR="004A6A95" w:rsidRPr="0020280D">
              <w:rPr>
                <w:rFonts w:asciiTheme="minorHAnsi" w:hAnsiTheme="minorHAnsi" w:cs="Arial"/>
                <w:highlight w:val="green"/>
              </w:rPr>
              <w:t xml:space="preserve"> </w:t>
            </w:r>
            <w:r w:rsidR="004A6A95">
              <w:rPr>
                <w:rFonts w:asciiTheme="minorHAnsi" w:hAnsiTheme="minorHAnsi" w:cs="Arial"/>
                <w:highlight w:val="green"/>
              </w:rPr>
              <w:t>da aquisição do Bem ou Serviço</w:t>
            </w:r>
            <w:r w:rsidR="004A6A95" w:rsidRPr="004A6A95">
              <w:rPr>
                <w:rFonts w:asciiTheme="minorHAnsi" w:hAnsiTheme="minorHAnsi" w:cs="Arial"/>
                <w:highlight w:val="green"/>
              </w:rPr>
              <w:t xml:space="preserve"> </w:t>
            </w:r>
            <w:r w:rsidR="004A6A95" w:rsidRPr="0020280D">
              <w:rPr>
                <w:rFonts w:asciiTheme="minorHAnsi" w:hAnsiTheme="minorHAnsi" w:cs="Arial"/>
                <w:highlight w:val="green"/>
              </w:rPr>
              <w:t xml:space="preserve">e o número do SIAPE, telefone institucional, e-mail e setor </w:t>
            </w:r>
            <w:r w:rsidR="00392767">
              <w:rPr>
                <w:rFonts w:asciiTheme="minorHAnsi" w:hAnsiTheme="minorHAnsi" w:cs="Arial"/>
                <w:highlight w:val="green"/>
              </w:rPr>
              <w:t>de lotação</w:t>
            </w:r>
            <w:r w:rsidR="004A6A95" w:rsidRPr="0020280D">
              <w:rPr>
                <w:rFonts w:asciiTheme="minorHAnsi" w:hAnsiTheme="minorHAnsi" w:cs="Arial"/>
                <w:highlight w:val="green"/>
              </w:rPr>
              <w:t xml:space="preserve"> de </w:t>
            </w:r>
            <w:r w:rsidR="004A6A95" w:rsidRPr="0020280D">
              <w:rPr>
                <w:rFonts w:asciiTheme="minorHAnsi" w:hAnsiTheme="minorHAnsi" w:cs="Arial"/>
                <w:highlight w:val="green"/>
              </w:rPr>
              <w:lastRenderedPageBreak/>
              <w:t>ambos?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1475CA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4FB4F47E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4A6A95" w:rsidRPr="00905055" w14:paraId="593350D6" w14:textId="77777777" w:rsidTr="00392767">
        <w:trPr>
          <w:trHeight w:val="72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BE0FDB3" w14:textId="66A6FF01" w:rsidR="004A6A95" w:rsidRPr="00E272A7" w:rsidRDefault="00392767" w:rsidP="00392767">
            <w:pPr>
              <w:rPr>
                <w:rFonts w:asciiTheme="minorHAnsi" w:hAnsiTheme="minorHAnsi" w:cs="Arial"/>
                <w:highlight w:val="green"/>
              </w:rPr>
            </w:pPr>
            <w:r>
              <w:rPr>
                <w:rFonts w:asciiTheme="minorHAnsi" w:hAnsiTheme="minorHAnsi" w:cs="Arial"/>
                <w:highlight w:val="green"/>
              </w:rPr>
              <w:lastRenderedPageBreak/>
              <w:t>7. Há indicação de Fiscais e S</w:t>
            </w:r>
            <w:r w:rsidR="004E06F5">
              <w:rPr>
                <w:rFonts w:asciiTheme="minorHAnsi" w:hAnsiTheme="minorHAnsi" w:cs="Arial"/>
                <w:highlight w:val="green"/>
              </w:rPr>
              <w:t>ubstituto</w:t>
            </w:r>
            <w:r>
              <w:rPr>
                <w:rFonts w:asciiTheme="minorHAnsi" w:hAnsiTheme="minorHAnsi" w:cs="Arial"/>
                <w:highlight w:val="green"/>
              </w:rPr>
              <w:t>s</w:t>
            </w:r>
            <w:r w:rsidR="004A6A95" w:rsidRPr="004A6A95">
              <w:rPr>
                <w:rFonts w:asciiTheme="minorHAnsi" w:hAnsiTheme="minorHAnsi" w:cs="Arial"/>
                <w:highlight w:val="green"/>
              </w:rPr>
              <w:t xml:space="preserve"> </w:t>
            </w:r>
            <w:r w:rsidR="004A6A95">
              <w:rPr>
                <w:rFonts w:asciiTheme="minorHAnsi" w:hAnsiTheme="minorHAnsi" w:cs="Arial"/>
                <w:highlight w:val="green"/>
              </w:rPr>
              <w:t>da aquisição do Bem ou Serviço</w:t>
            </w:r>
            <w:r w:rsidR="004A6A95" w:rsidRPr="004A6A95">
              <w:rPr>
                <w:rFonts w:asciiTheme="minorHAnsi" w:hAnsiTheme="minorHAnsi" w:cs="Arial"/>
                <w:highlight w:val="green"/>
              </w:rPr>
              <w:t xml:space="preserve"> e o número do SIAPE, telefone institucional, e-mail </w:t>
            </w:r>
            <w:r w:rsidRPr="0020280D">
              <w:rPr>
                <w:rFonts w:asciiTheme="minorHAnsi" w:hAnsiTheme="minorHAnsi" w:cs="Arial"/>
                <w:highlight w:val="green"/>
              </w:rPr>
              <w:t xml:space="preserve">e setor </w:t>
            </w:r>
            <w:r>
              <w:rPr>
                <w:rFonts w:asciiTheme="minorHAnsi" w:hAnsiTheme="minorHAnsi" w:cs="Arial"/>
                <w:highlight w:val="green"/>
              </w:rPr>
              <w:t>de lotação de ambos, por tipo de fiscalização: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171B2A4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DF05BB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3EBD411" w14:textId="77777777" w:rsidR="004A6A95" w:rsidRPr="00905055" w:rsidRDefault="004A6A9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77952FDB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067872A" w14:textId="63555165" w:rsidR="00392767" w:rsidRPr="006A5DE1" w:rsidRDefault="00392767" w:rsidP="000D7AE7">
            <w:pPr>
              <w:rPr>
                <w:rFonts w:asciiTheme="minorHAnsi" w:hAnsiTheme="minorHAnsi" w:cs="Arial"/>
                <w:highlight w:val="green"/>
              </w:rPr>
            </w:pPr>
            <w:r>
              <w:rPr>
                <w:rFonts w:asciiTheme="minorHAnsi" w:hAnsiTheme="minorHAnsi" w:cs="Arial"/>
                <w:highlight w:val="green"/>
              </w:rPr>
              <w:t xml:space="preserve">7.1. Fiscal </w:t>
            </w:r>
            <w:r w:rsidRPr="00392767">
              <w:rPr>
                <w:rFonts w:asciiTheme="minorHAnsi" w:hAnsiTheme="minorHAnsi" w:cs="Arial"/>
                <w:b/>
                <w:highlight w:val="green"/>
              </w:rPr>
              <w:t>Administrativo</w:t>
            </w:r>
            <w:r>
              <w:rPr>
                <w:rFonts w:asciiTheme="minorHAnsi" w:hAnsiTheme="minorHAnsi" w:cs="Arial"/>
                <w:highlight w:val="green"/>
              </w:rPr>
              <w:t xml:space="preserve"> e Substituto (nome, SIAPE, telefone institucional, e-mail e lotação</w:t>
            </w:r>
            <w:proofErr w:type="gramStart"/>
            <w:r>
              <w:rPr>
                <w:rFonts w:asciiTheme="minorHAnsi" w:hAnsiTheme="minorHAnsi" w:cs="Arial"/>
                <w:highlight w:val="green"/>
              </w:rPr>
              <w:t>)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94287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210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667A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56FFFAF0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D3806A6" w14:textId="0AAD5C55" w:rsidR="00392767" w:rsidRPr="006A5DE1" w:rsidRDefault="00392767" w:rsidP="000D7AE7">
            <w:pPr>
              <w:rPr>
                <w:rFonts w:asciiTheme="minorHAnsi" w:hAnsiTheme="minorHAnsi" w:cs="Arial"/>
                <w:highlight w:val="green"/>
              </w:rPr>
            </w:pPr>
            <w:r>
              <w:rPr>
                <w:rFonts w:asciiTheme="minorHAnsi" w:hAnsiTheme="minorHAnsi" w:cs="Arial"/>
                <w:highlight w:val="green"/>
              </w:rPr>
              <w:t xml:space="preserve">7.2. Fiscal </w:t>
            </w:r>
            <w:r w:rsidRPr="00392767">
              <w:rPr>
                <w:rFonts w:asciiTheme="minorHAnsi" w:hAnsiTheme="minorHAnsi" w:cs="Arial"/>
                <w:b/>
                <w:highlight w:val="green"/>
              </w:rPr>
              <w:t>Técnico</w:t>
            </w:r>
            <w:r>
              <w:rPr>
                <w:rFonts w:asciiTheme="minorHAnsi" w:hAnsiTheme="minorHAnsi" w:cs="Arial"/>
                <w:highlight w:val="green"/>
              </w:rPr>
              <w:t xml:space="preserve"> e Substituto (nome, SIAPE, telefone institucional, e-mail e lotação</w:t>
            </w:r>
            <w:proofErr w:type="gramStart"/>
            <w:r>
              <w:rPr>
                <w:rFonts w:asciiTheme="minorHAnsi" w:hAnsiTheme="minorHAnsi" w:cs="Arial"/>
                <w:highlight w:val="green"/>
              </w:rPr>
              <w:t>)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3F375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FB196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C986B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392767" w:rsidRPr="00905055" w14:paraId="29E7BD8A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DB65F5" w14:textId="3F1248EF" w:rsidR="00392767" w:rsidRPr="006A5DE1" w:rsidRDefault="00392767" w:rsidP="00392767">
            <w:pPr>
              <w:rPr>
                <w:rFonts w:asciiTheme="minorHAnsi" w:hAnsiTheme="minorHAnsi" w:cs="Arial"/>
                <w:highlight w:val="green"/>
              </w:rPr>
            </w:pPr>
            <w:r>
              <w:rPr>
                <w:rFonts w:asciiTheme="minorHAnsi" w:hAnsiTheme="minorHAnsi" w:cs="Arial"/>
                <w:highlight w:val="green"/>
              </w:rPr>
              <w:t xml:space="preserve">7.3. Fiscal </w:t>
            </w:r>
            <w:r w:rsidRPr="00392767">
              <w:rPr>
                <w:rFonts w:asciiTheme="minorHAnsi" w:hAnsiTheme="minorHAnsi" w:cs="Arial"/>
                <w:b/>
                <w:highlight w:val="green"/>
              </w:rPr>
              <w:t>Setorial</w:t>
            </w:r>
            <w:r>
              <w:rPr>
                <w:rFonts w:asciiTheme="minorHAnsi" w:hAnsiTheme="minorHAnsi" w:cs="Arial"/>
                <w:highlight w:val="green"/>
              </w:rPr>
              <w:t xml:space="preserve"> e Substituto (nome, SIAPE, telefone institucional, e-mail e lotação</w:t>
            </w:r>
            <w:proofErr w:type="gramStart"/>
            <w:r>
              <w:rPr>
                <w:rFonts w:asciiTheme="minorHAnsi" w:hAnsiTheme="minorHAnsi" w:cs="Arial"/>
                <w:highlight w:val="green"/>
              </w:rPr>
              <w:t>)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34510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679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B80C4" w14:textId="77777777" w:rsidR="00392767" w:rsidRPr="00905055" w:rsidRDefault="0039276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2D9C8AB" w14:textId="77777777" w:rsidTr="000D7AE7">
        <w:trPr>
          <w:trHeight w:val="829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64F5901" w14:textId="2065E46D" w:rsidR="00BB15D2" w:rsidRPr="006A5DE1" w:rsidRDefault="004A6A95" w:rsidP="000D7AE7">
            <w:pPr>
              <w:rPr>
                <w:rFonts w:asciiTheme="minorHAnsi" w:hAnsiTheme="minorHAnsi" w:cs="Arial"/>
              </w:rPr>
            </w:pPr>
            <w:r w:rsidRPr="006A5DE1">
              <w:rPr>
                <w:rFonts w:asciiTheme="minorHAnsi" w:hAnsiTheme="minorHAnsi" w:cs="Arial"/>
                <w:highlight w:val="green"/>
              </w:rPr>
              <w:t>8</w:t>
            </w:r>
            <w:r w:rsidR="00922548" w:rsidRPr="006A5DE1">
              <w:rPr>
                <w:rFonts w:asciiTheme="minorHAnsi" w:hAnsiTheme="minorHAnsi" w:cs="Arial"/>
                <w:highlight w:val="green"/>
              </w:rPr>
              <w:t>.</w:t>
            </w:r>
            <w:r w:rsidR="00BB15D2" w:rsidRPr="006A5DE1">
              <w:rPr>
                <w:rFonts w:asciiTheme="minorHAnsi" w:hAnsiTheme="minorHAnsi" w:cs="Arial"/>
                <w:highlight w:val="green"/>
              </w:rPr>
              <w:t xml:space="preserve"> Nos casos de</w:t>
            </w:r>
            <w:r w:rsidR="005C7731" w:rsidRPr="006A5DE1">
              <w:rPr>
                <w:rFonts w:asciiTheme="minorHAnsi" w:hAnsiTheme="minorHAnsi" w:cs="Arial"/>
                <w:highlight w:val="green"/>
              </w:rPr>
              <w:t xml:space="preserve"> serviços com </w:t>
            </w:r>
            <w:r w:rsidR="00BB15D2" w:rsidRPr="006A5DE1">
              <w:rPr>
                <w:rFonts w:asciiTheme="minorHAnsi" w:hAnsiTheme="minorHAnsi" w:cs="Arial"/>
                <w:highlight w:val="green"/>
              </w:rPr>
              <w:t>cessão exclusiva de mão de obra,</w:t>
            </w:r>
            <w:r w:rsidR="005C7731" w:rsidRPr="006A5DE1">
              <w:rPr>
                <w:rFonts w:asciiTheme="minorHAnsi" w:hAnsiTheme="minorHAnsi" w:cs="Arial"/>
                <w:highlight w:val="green"/>
              </w:rPr>
              <w:t xml:space="preserve"> </w:t>
            </w:r>
            <w:r w:rsidR="000D7AE7">
              <w:rPr>
                <w:rFonts w:asciiTheme="minorHAnsi" w:hAnsiTheme="minorHAnsi" w:cs="Arial"/>
                <w:highlight w:val="green"/>
              </w:rPr>
              <w:t>e</w:t>
            </w:r>
            <w:r w:rsidR="006A5DE1" w:rsidRPr="006A5DE1">
              <w:rPr>
                <w:rFonts w:asciiTheme="minorHAnsi" w:hAnsiTheme="minorHAnsi" w:cs="Arial"/>
                <w:highlight w:val="green"/>
              </w:rPr>
              <w:t>xiste no TR a necessidade de indicação de Preposto por parte da CONTRATADA?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638E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EE7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87C0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04D3D4F" w14:textId="77777777" w:rsidTr="00BB15D2">
        <w:trPr>
          <w:trHeight w:val="77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5DCEEE97" w:rsidR="00BB15D2" w:rsidRPr="00905055" w:rsidRDefault="004A6A95" w:rsidP="00FA6F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highlight w:val="green"/>
              </w:rPr>
              <w:t>9</w:t>
            </w:r>
            <w:r w:rsidR="00BB15D2" w:rsidRPr="004A6A95">
              <w:rPr>
                <w:rFonts w:asciiTheme="minorHAnsi" w:hAnsiTheme="minorHAnsi" w:cs="Arial"/>
                <w:highlight w:val="green"/>
              </w:rPr>
              <w:t xml:space="preserve">. </w:t>
            </w:r>
            <w:r w:rsidRPr="004A6A95">
              <w:rPr>
                <w:rFonts w:asciiTheme="minorHAnsi" w:hAnsiTheme="minorHAnsi" w:cs="Arial"/>
                <w:highlight w:val="green"/>
              </w:rPr>
              <w:t xml:space="preserve">Há previsão de recursos orçamentários, com indicação das respectivas rubricas (art. 30, IV, do Decreto nº 5.450/05 e </w:t>
            </w:r>
            <w:proofErr w:type="spellStart"/>
            <w:r w:rsidRPr="004A6A95">
              <w:rPr>
                <w:rFonts w:asciiTheme="minorHAnsi" w:hAnsiTheme="minorHAnsi" w:cs="Arial"/>
                <w:highlight w:val="green"/>
              </w:rPr>
              <w:t>arts</w:t>
            </w:r>
            <w:proofErr w:type="spellEnd"/>
            <w:r w:rsidRPr="004A6A95">
              <w:rPr>
                <w:rFonts w:asciiTheme="minorHAnsi" w:hAnsiTheme="minorHAnsi" w:cs="Arial"/>
                <w:highlight w:val="green"/>
              </w:rPr>
              <w:t>. 7º, § 2º, III, 14 e 38, caput, da Lei nº 8.666/93)</w:t>
            </w:r>
            <w:proofErr w:type="gramStart"/>
            <w:r w:rsidRPr="004A6A95">
              <w:rPr>
                <w:rFonts w:asciiTheme="minorHAnsi" w:hAnsiTheme="minorHAnsi" w:cs="Arial"/>
                <w:highlight w:val="green"/>
              </w:rPr>
              <w:t>?</w:t>
            </w:r>
            <w:r w:rsidR="00BB15D2" w:rsidRPr="004A6A95">
              <w:rPr>
                <w:rFonts w:asciiTheme="minorHAnsi" w:hAnsiTheme="minorHAnsi" w:cs="Arial"/>
                <w:highlight w:val="green"/>
              </w:rPr>
              <w:t>,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caso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não seja SRP?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0F1C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26321A8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26CC157D" w14:textId="77777777" w:rsidTr="00BB15D2">
        <w:trPr>
          <w:trHeight w:val="610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8AF5845" w14:textId="36D75C78" w:rsidR="00BB15D2" w:rsidRPr="00905055" w:rsidRDefault="004A6A95" w:rsidP="003F13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 Foi realizada ampla pesquisa de preços do objeto da licitação baseada em critérios aceitáveis na forma prevista na IN SLTI/MP nº 3, de 20 de abril de 2017?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BA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F23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2764" w14:textId="3EBD6999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CDED44F" w14:textId="77777777" w:rsidTr="00D34D55">
        <w:trPr>
          <w:trHeight w:val="672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35E06F" w14:textId="1328441F" w:rsidR="00BB15D2" w:rsidRPr="00905055" w:rsidRDefault="004A6A95" w:rsidP="00BB15D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.1 Tratando-se de serviço existe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8.666/93, e art. 15, XII, “b”, IN/SLTI 02/2008 e IN/SLTI 03/2017)? Acórdão 1512/2006-Plenário-TCU.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C8E8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A3C340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4A2B" w14:textId="37C012F3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134562B1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83BD27" w14:textId="124FB5B1" w:rsidR="00BB15D2" w:rsidRPr="00905055" w:rsidRDefault="004A6A95" w:rsidP="003F133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.2 Quando da utilização de método de pesquisa diverso do disposto</w:t>
            </w:r>
            <w:r w:rsidR="00D61AA8" w:rsidRPr="00905055">
              <w:rPr>
                <w:rFonts w:asciiTheme="minorHAnsi" w:hAnsiTheme="minorHAnsi" w:cs="Arial"/>
              </w:rPr>
              <w:t xml:space="preserve"> no §2º do art. 2º da IN/SLTI 03/2017</w:t>
            </w:r>
            <w:r w:rsidR="00BB15D2" w:rsidRPr="00905055">
              <w:rPr>
                <w:rFonts w:asciiTheme="minorHAnsi" w:hAnsiTheme="minorHAnsi" w:cs="Arial"/>
              </w:rPr>
              <w:t>, tal situação foi justificada? (</w:t>
            </w:r>
            <w:r w:rsidR="000A3683" w:rsidRPr="00905055">
              <w:rPr>
                <w:rFonts w:asciiTheme="minorHAnsi" w:hAnsiTheme="minorHAnsi" w:cs="Arial"/>
              </w:rPr>
              <w:t>art. 2º, § 3º da IN/SLTI 03/2017</w:t>
            </w:r>
            <w:r w:rsidR="00BB15D2" w:rsidRPr="009050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74E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8E4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EC0B9" w14:textId="4B865952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8C77008" w14:textId="77777777" w:rsidTr="00BB15D2">
        <w:trPr>
          <w:trHeight w:val="914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D3763" w14:textId="34092632" w:rsidR="00BB15D2" w:rsidRPr="00905055" w:rsidRDefault="004A6A95" w:rsidP="007B76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.3 Para fins de orçamentação e análise de vantajosidade nas licitações de bens e serviços, foram priorizados os parâmetros previstos nos incisos I (</w:t>
            </w:r>
            <w:r w:rsidR="000A3683" w:rsidRPr="00905055">
              <w:rPr>
                <w:rFonts w:asciiTheme="minorHAnsi" w:hAnsiTheme="minorHAnsi" w:cs="Arial"/>
              </w:rPr>
              <w:t>Painel de Preços</w:t>
            </w:r>
            <w:r w:rsidR="00BB15D2" w:rsidRPr="00905055">
              <w:rPr>
                <w:rFonts w:asciiTheme="minorHAnsi" w:hAnsiTheme="minorHAnsi" w:cs="Arial"/>
              </w:rPr>
              <w:t xml:space="preserve">) e III (contratações similares de outros entes públicos) do </w:t>
            </w:r>
            <w:r w:rsidR="000A3683" w:rsidRPr="00905055">
              <w:rPr>
                <w:rFonts w:asciiTheme="minorHAnsi" w:hAnsiTheme="minorHAnsi" w:cs="Arial"/>
              </w:rPr>
              <w:t>art. 2° da IN SLTI/MP n º 3, de 2017</w:t>
            </w:r>
            <w:r w:rsidR="00BB15D2" w:rsidRPr="00905055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882F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AAC3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F6E42" w14:textId="14E844C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AD9F3A8" w14:textId="77777777" w:rsidTr="00C94E08">
        <w:trPr>
          <w:trHeight w:val="501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45D993EA" w:rsidR="00BB15D2" w:rsidRPr="00905055" w:rsidRDefault="004A6A95" w:rsidP="00867048">
            <w:pPr>
              <w:rPr>
                <w:rFonts w:asciiTheme="minorHAnsi" w:hAnsiTheme="minorHAnsi" w:cs="Arial"/>
                <w:vertAlign w:val="subscript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.4 No caso de pesquisa junto a fornecedores: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4304F2D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6661CA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2FE583CA" w14:textId="7ADAC936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78B965B0" w14:textId="77777777" w:rsidTr="00BB15D2">
        <w:trPr>
          <w:trHeight w:val="78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6F31E61" w14:textId="6738F06A" w:rsidR="00BB15D2" w:rsidRPr="00905055" w:rsidRDefault="004A6A95" w:rsidP="0024225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.4.1 Consta nos autos a solicitação formal enviada </w:t>
            </w:r>
            <w:r w:rsidR="00392767">
              <w:rPr>
                <w:rFonts w:asciiTheme="minorHAnsi" w:hAnsiTheme="minorHAnsi" w:cs="Arial"/>
              </w:rPr>
              <w:t xml:space="preserve">INDIVIDUALMENTE </w:t>
            </w:r>
            <w:r w:rsidR="00BB15D2" w:rsidRPr="00905055">
              <w:rPr>
                <w:rFonts w:asciiTheme="minorHAnsi" w:hAnsiTheme="minorHAnsi" w:cs="Arial"/>
              </w:rPr>
              <w:t xml:space="preserve">para que o fornecedor apresentasse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242250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1473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5792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65A6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7EDC4E3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7F140F" w14:textId="0E6BEF33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.4.2 Constam, no mínimo, três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de preços/fornecedores assinadas ou foi apresentada justificativa pela ausência? (</w:t>
            </w:r>
            <w:r w:rsidR="000D4781" w:rsidRPr="00905055">
              <w:rPr>
                <w:rFonts w:asciiTheme="minorHAnsi" w:hAnsiTheme="minorHAnsi" w:cs="Arial"/>
              </w:rPr>
              <w:t>art. 2º, § 2</w:t>
            </w:r>
            <w:r w:rsidR="000A3683" w:rsidRPr="00905055">
              <w:rPr>
                <w:rFonts w:asciiTheme="minorHAnsi" w:hAnsiTheme="minorHAnsi" w:cs="Arial"/>
              </w:rPr>
              <w:t>º da IN/SLTI 03/2017</w:t>
            </w:r>
            <w:r w:rsidR="00BB15D2" w:rsidRPr="00905055">
              <w:rPr>
                <w:rFonts w:asciiTheme="minorHAnsi" w:hAnsiTheme="minorHAnsi" w:cs="Arial"/>
              </w:rPr>
              <w:t>)</w:t>
            </w:r>
            <w:r w:rsidR="00BB15D2" w:rsidRPr="00905055">
              <w:rPr>
                <w:rFonts w:asciiTheme="minorHAnsi" w:hAnsiTheme="minorHAnsi" w:cs="Arial"/>
                <w:color w:val="FF0000"/>
              </w:rPr>
              <w:t xml:space="preserve"> </w:t>
            </w:r>
            <w:r w:rsidR="00BB15D2" w:rsidRPr="00905055">
              <w:rPr>
                <w:rFonts w:asciiTheme="minorHAnsi" w:hAnsiTheme="minorHAnsi" w:cs="Arial"/>
              </w:rPr>
              <w:t>(*Caso tenham sido encaminhadas por email, porém são necessários os e</w:t>
            </w:r>
            <w:r w:rsidR="00242250">
              <w:rPr>
                <w:rFonts w:asciiTheme="minorHAnsi" w:hAnsiTheme="minorHAnsi" w:cs="Arial"/>
              </w:rPr>
              <w:t>-</w:t>
            </w:r>
            <w:r w:rsidR="00BB15D2" w:rsidRPr="00905055">
              <w:rPr>
                <w:rFonts w:asciiTheme="minorHAnsi" w:hAnsiTheme="minorHAnsi" w:cs="Arial"/>
              </w:rPr>
              <w:t>mails de encaminhamento e a declaração do servidor de que “confere com a proposta recebida por email”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)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17EB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D6B7F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5BC91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2B0A967" w14:textId="77777777" w:rsidTr="00BB15D2">
        <w:trPr>
          <w:trHeight w:val="868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7A71227" w14:textId="0764099E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.4.3 Nas três ou mais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das empresas fornecedoras constam os dados básicos do fornecedor: nome, endereço, telefone e CNPJ?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4C4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AAE55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EE6B8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4583FFE" w14:textId="77777777" w:rsidTr="00BB15D2">
        <w:trPr>
          <w:trHeight w:val="81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5FB18E" w14:textId="44CAA26B" w:rsidR="00BB15D2" w:rsidRPr="00905055" w:rsidRDefault="004A6A95" w:rsidP="00D61AA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.4.4 As datas de emissão </w:t>
            </w:r>
            <w:r w:rsidR="00392767" w:rsidRPr="00905055">
              <w:rPr>
                <w:rFonts w:asciiTheme="minorHAnsi" w:hAnsiTheme="minorHAnsi" w:cs="Arial"/>
              </w:rPr>
              <w:t>dos orçamentos</w:t>
            </w:r>
            <w:r w:rsidR="00BB15D2" w:rsidRPr="00905055">
              <w:rPr>
                <w:rFonts w:asciiTheme="minorHAnsi" w:hAnsiTheme="minorHAnsi" w:cs="Arial"/>
              </w:rPr>
              <w:t xml:space="preserve"> das empresas fornecedoras são inferiores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a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180 dias? (Art. </w:t>
            </w:r>
            <w:r w:rsidR="00D61AA8" w:rsidRPr="00905055">
              <w:rPr>
                <w:rFonts w:asciiTheme="minorHAnsi" w:hAnsiTheme="minorHAnsi" w:cs="Arial"/>
              </w:rPr>
              <w:t>2º, inciso IV,</w:t>
            </w:r>
            <w:r w:rsidR="00BB15D2" w:rsidRPr="00905055">
              <w:rPr>
                <w:rFonts w:asciiTheme="minorHAnsi" w:hAnsiTheme="minorHAnsi" w:cs="Arial"/>
              </w:rPr>
              <w:t xml:space="preserve"> IN SLTI/MP nº 3/2017</w:t>
            </w:r>
            <w:r w:rsidR="00D61AA8" w:rsidRPr="00905055">
              <w:rPr>
                <w:rFonts w:asciiTheme="minorHAnsi" w:hAnsiTheme="minorHAnsi" w:cs="Arial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B65F6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34BE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2FBD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E52C2DA" w14:textId="77777777" w:rsidTr="00BB15D2">
        <w:trPr>
          <w:trHeight w:val="512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9BB37D" w14:textId="5E080A61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.4.5 </w:t>
            </w:r>
            <w:r w:rsidR="00242250" w:rsidRPr="00905055">
              <w:rPr>
                <w:rFonts w:asciiTheme="minorHAnsi" w:hAnsiTheme="minorHAnsi" w:cs="Arial"/>
              </w:rPr>
              <w:t>Nos orçamentos</w:t>
            </w:r>
            <w:r w:rsidR="00BB15D2" w:rsidRPr="00905055">
              <w:rPr>
                <w:rFonts w:asciiTheme="minorHAnsi" w:hAnsiTheme="minorHAnsi" w:cs="Arial"/>
              </w:rPr>
              <w:t xml:space="preserve"> de preços foram deduzidos os descontos concedidos?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8F7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88B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ABFD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BD716EE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09EB42" w14:textId="65B5ACFF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.4.6 O valor do preço constante </w:t>
            </w:r>
            <w:r w:rsidR="00392767" w:rsidRPr="00905055">
              <w:rPr>
                <w:rFonts w:asciiTheme="minorHAnsi" w:hAnsiTheme="minorHAnsi" w:cs="Arial"/>
              </w:rPr>
              <w:t>nos orçamentos</w:t>
            </w:r>
            <w:r w:rsidR="00BB15D2" w:rsidRPr="00905055">
              <w:rPr>
                <w:rFonts w:asciiTheme="minorHAnsi" w:hAnsiTheme="minorHAnsi" w:cs="Arial"/>
              </w:rPr>
              <w:t xml:space="preserve"> já contempla todos os impostos, taxas, fretes e demais despesas decorrentes de fornecimento do bem, execução da obra ou prestação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2F014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13CCE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68953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050AD4B2" w14:textId="77777777" w:rsidTr="00BB15D2">
        <w:trPr>
          <w:trHeight w:val="100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597678D" w14:textId="0947EA5E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.4.7 A modalidade de pagamento prevista </w:t>
            </w:r>
            <w:r w:rsidR="00242250" w:rsidRPr="00905055">
              <w:rPr>
                <w:rFonts w:asciiTheme="minorHAnsi" w:hAnsiTheme="minorHAnsi" w:cs="Arial"/>
              </w:rPr>
              <w:t>no orçamento</w:t>
            </w:r>
            <w:r w:rsidR="00BB15D2" w:rsidRPr="00905055">
              <w:rPr>
                <w:rFonts w:asciiTheme="minorHAnsi" w:hAnsiTheme="minorHAnsi" w:cs="Arial"/>
              </w:rPr>
              <w:t xml:space="preserve"> de preço pressupõe a liquidação de pagamento após entrega do bem ou execução do serviço?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63D1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E095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16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B75E936" w14:textId="77777777" w:rsidTr="00BB15D2">
        <w:trPr>
          <w:trHeight w:val="49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E5AA1" w14:textId="53FE1493" w:rsidR="00BB15D2" w:rsidRPr="00905055" w:rsidRDefault="004A6A95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.4.8 No caso de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 originais: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F377B2C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3E7D3907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</w:tcPr>
          <w:p w14:paraId="6501868D" w14:textId="77777777" w:rsidR="00BB15D2" w:rsidRPr="001D0A2A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3D5B8122" w14:textId="77777777" w:rsidTr="00905055">
        <w:trPr>
          <w:trHeight w:val="42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580BC26" w14:textId="10E7042F" w:rsidR="00BB15D2" w:rsidRPr="00905055" w:rsidRDefault="004A6A95" w:rsidP="00851ABD">
            <w:pPr>
              <w:ind w:left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>.4.8.1 As caligrafias das assinaturas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EB720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1EB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C29E2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67A1B883" w14:textId="77777777" w:rsidTr="00905055">
        <w:trPr>
          <w:trHeight w:val="37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A75CCC0" w14:textId="59C84391" w:rsidR="00BB15D2" w:rsidRPr="00905055" w:rsidRDefault="004A6A95" w:rsidP="00851ABD">
            <w:pPr>
              <w:ind w:left="4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.4.8.2 As formatações </w:t>
            </w:r>
            <w:r w:rsidR="00392767" w:rsidRPr="00905055">
              <w:rPr>
                <w:rFonts w:asciiTheme="minorHAnsi" w:hAnsiTheme="minorHAnsi" w:cs="Arial"/>
              </w:rPr>
              <w:t>dos orçamentos</w:t>
            </w:r>
            <w:r w:rsidR="00BB15D2" w:rsidRPr="00905055">
              <w:rPr>
                <w:rFonts w:asciiTheme="minorHAnsi" w:hAnsiTheme="minorHAnsi" w:cs="Arial"/>
              </w:rPr>
              <w:t xml:space="preserve"> de preço são diferentes?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D9B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8ED9C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079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4C221CA" w14:textId="77777777" w:rsidTr="00905055">
        <w:trPr>
          <w:trHeight w:val="103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306B8E" w14:textId="7097D360" w:rsidR="00BB15D2" w:rsidRPr="00905055" w:rsidRDefault="004A6A95" w:rsidP="00E352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  <w:r w:rsidR="00BB15D2" w:rsidRPr="00905055">
              <w:rPr>
                <w:rFonts w:asciiTheme="minorHAnsi" w:hAnsiTheme="minorHAnsi" w:cs="Arial"/>
              </w:rPr>
              <w:t xml:space="preserve">.5 </w:t>
            </w:r>
            <w:proofErr w:type="gramStart"/>
            <w:r w:rsidR="00BB15D2" w:rsidRPr="00905055">
              <w:rPr>
                <w:rFonts w:asciiTheme="minorHAnsi" w:hAnsiTheme="minorHAnsi" w:cs="Arial"/>
              </w:rPr>
              <w:t>Consta</w:t>
            </w:r>
            <w:proofErr w:type="gramEnd"/>
            <w:r w:rsidR="00BB15D2" w:rsidRPr="00905055">
              <w:rPr>
                <w:rFonts w:asciiTheme="minorHAnsi" w:hAnsiTheme="minorHAnsi" w:cs="Arial"/>
              </w:rPr>
              <w:t xml:space="preserve"> no processo Termo de Responsabilidade</w:t>
            </w:r>
            <w:r w:rsidR="00922548">
              <w:rPr>
                <w:rFonts w:asciiTheme="minorHAnsi" w:hAnsiTheme="minorHAnsi" w:cs="Arial"/>
              </w:rPr>
              <w:t>, ou designação/identificação d</w:t>
            </w:r>
            <w:r w:rsidR="00E35212">
              <w:rPr>
                <w:rFonts w:asciiTheme="minorHAnsi" w:hAnsiTheme="minorHAnsi" w:cs="Arial"/>
              </w:rPr>
              <w:t>o</w:t>
            </w:r>
            <w:r w:rsidR="00392767">
              <w:rPr>
                <w:rFonts w:asciiTheme="minorHAnsi" w:hAnsiTheme="minorHAnsi" w:cs="Arial"/>
              </w:rPr>
              <w:t xml:space="preserve"> servidor </w:t>
            </w:r>
            <w:r w:rsidR="00E35212">
              <w:rPr>
                <w:rFonts w:asciiTheme="minorHAnsi" w:hAnsiTheme="minorHAnsi" w:cs="Arial"/>
              </w:rPr>
              <w:t>responsável pela</w:t>
            </w:r>
            <w:r w:rsidR="00BB15D2" w:rsidRPr="00905055">
              <w:rPr>
                <w:rFonts w:asciiTheme="minorHAnsi" w:hAnsiTheme="minorHAnsi" w:cs="Arial"/>
              </w:rPr>
              <w:t xml:space="preserve"> Pesquisa de Preço assinado pelo servidor que pesquisou as </w:t>
            </w:r>
            <w:r w:rsidR="00392767">
              <w:rPr>
                <w:rFonts w:asciiTheme="minorHAnsi" w:hAnsiTheme="minorHAnsi" w:cs="Arial"/>
              </w:rPr>
              <w:t>orçamento</w:t>
            </w:r>
            <w:r w:rsidR="00BB15D2" w:rsidRPr="00905055">
              <w:rPr>
                <w:rFonts w:asciiTheme="minorHAnsi" w:hAnsiTheme="minorHAnsi" w:cs="Arial"/>
              </w:rPr>
              <w:t>s?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B0AF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1750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3AE09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6726D1" w:rsidRPr="00905055" w14:paraId="07AD8474" w14:textId="77777777" w:rsidTr="00905055">
        <w:trPr>
          <w:trHeight w:val="1031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4EB0BCA" w14:textId="75499FE6" w:rsidR="006726D1" w:rsidRDefault="000C21C9" w:rsidP="000C21C9">
            <w:pPr>
              <w:rPr>
                <w:rFonts w:asciiTheme="minorHAnsi" w:hAnsiTheme="minorHAnsi" w:cs="Arial"/>
              </w:rPr>
            </w:pPr>
            <w:r w:rsidRPr="00D655A9">
              <w:rPr>
                <w:rFonts w:asciiTheme="minorHAnsi" w:hAnsiTheme="minorHAnsi" w:cs="Arial"/>
                <w:highlight w:val="green"/>
              </w:rPr>
              <w:t>10.5.1. No caso dos Serviços de Engenharia, há comprovação do recolhimento da Anotação de Responsabilidade Técnica – ART do autor do projeto básico e demais documentos técnicos, inclusive das planilhas orçamentárias (art. 10, Decreto 7983/2013)</w:t>
            </w:r>
            <w:r w:rsidR="00D655A9" w:rsidRPr="00D655A9">
              <w:rPr>
                <w:rFonts w:asciiTheme="minorHAnsi" w:hAnsiTheme="minorHAnsi" w:cs="Arial"/>
                <w:highlight w:val="green"/>
              </w:rPr>
              <w:t>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03393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77D85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73F8B" w14:textId="77777777" w:rsidR="006726D1" w:rsidRPr="00905055" w:rsidRDefault="006726D1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427F0BB7" w14:textId="77777777" w:rsidTr="00BB15D2">
        <w:trPr>
          <w:trHeight w:val="1226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743211A9" w:rsidR="00BB15D2" w:rsidRPr="00905055" w:rsidRDefault="00E35212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 xml:space="preserve">.  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C43D9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0666B64C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7901193D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068F3E2B" w:rsidR="00BB15D2" w:rsidRPr="00905055" w:rsidRDefault="00D86566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4F59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2D73A530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05055">
              <w:rPr>
                <w:rFonts w:asciiTheme="minorHAnsi" w:hAnsiTheme="minorHAnsi"/>
              </w:rPr>
              <w:t> </w:t>
            </w:r>
          </w:p>
        </w:tc>
      </w:tr>
      <w:tr w:rsidR="00BB15D2" w:rsidRPr="00905055" w14:paraId="18688162" w14:textId="77777777" w:rsidTr="00BB15D2">
        <w:trPr>
          <w:trHeight w:val="735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1474E803" w:rsidR="00BB15D2" w:rsidRPr="00905055" w:rsidRDefault="00D86566" w:rsidP="00A41C5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1</w:t>
            </w:r>
            <w:r w:rsidR="00BB15D2" w:rsidRPr="00905055">
              <w:rPr>
                <w:rFonts w:asciiTheme="minorHAnsi" w:hAnsiTheme="minorHAnsi" w:cs="Arial"/>
              </w:rPr>
              <w:t xml:space="preserve">.2. Foi prevista a aplicação dos benefícios dispostos nos </w:t>
            </w:r>
            <w:proofErr w:type="spellStart"/>
            <w:r w:rsidR="00BB15D2" w:rsidRPr="00905055">
              <w:rPr>
                <w:rFonts w:asciiTheme="minorHAnsi" w:hAnsiTheme="minorHAnsi" w:cs="Arial"/>
              </w:rPr>
              <w:t>arts</w:t>
            </w:r>
            <w:proofErr w:type="spellEnd"/>
            <w:r w:rsidR="00BB15D2" w:rsidRPr="00905055">
              <w:rPr>
                <w:rFonts w:asciiTheme="minorHAnsi" w:hAnsiTheme="minorHAnsi" w:cs="Arial"/>
              </w:rPr>
              <w:t>. 42 a 49 da Lei Complementar 123, de 14 de dezembro de 2006, e seu regulamento, o Decreto nº 8.538, de 6 de outubro de 2015?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68D3B5B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159F2CFA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254F8A25" w14:textId="77777777" w:rsidTr="00BB15D2">
        <w:trPr>
          <w:trHeight w:val="662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A323159" w14:textId="5C939756" w:rsidR="00BB15D2" w:rsidRPr="00905055" w:rsidRDefault="00D86566" w:rsidP="005218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2</w:t>
            </w:r>
            <w:r w:rsidR="00BB15D2" w:rsidRPr="00905055">
              <w:rPr>
                <w:rFonts w:asciiTheme="minorHAnsi" w:hAnsiTheme="minorHAnsi" w:cs="Arial"/>
              </w:rPr>
              <w:t xml:space="preserve">. Foram observados os dispositivos legais que dispõem sobre a margem de preferência? (Decretos </w:t>
            </w:r>
            <w:proofErr w:type="spellStart"/>
            <w:r w:rsidR="00BB15D2" w:rsidRPr="00905055">
              <w:rPr>
                <w:rFonts w:asciiTheme="minorHAnsi" w:hAnsiTheme="minorHAnsi" w:cs="Arial"/>
              </w:rPr>
              <w:t>ns</w:t>
            </w:r>
            <w:proofErr w:type="spellEnd"/>
            <w:r w:rsidR="00BB15D2" w:rsidRPr="00905055">
              <w:rPr>
                <w:rFonts w:asciiTheme="minorHAnsi" w:hAnsiTheme="minorHAnsi" w:cs="Arial"/>
              </w:rPr>
              <w:t>. 7546/2011 e 8538/2015 e outros)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9BE44C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EBF5D2" w14:textId="77777777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91FD98" w14:textId="432ABEF1" w:rsidR="00BB15D2" w:rsidRPr="00905055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905055" w14:paraId="51CD0857" w14:textId="77777777" w:rsidTr="00905055">
        <w:trPr>
          <w:trHeight w:val="617"/>
          <w:tblCellSpacing w:w="0" w:type="dxa"/>
          <w:jc w:val="center"/>
        </w:trPr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621D062" w14:textId="17B40E32" w:rsidR="00BB15D2" w:rsidRPr="00905055" w:rsidRDefault="001D0A2A" w:rsidP="000D478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3</w:t>
            </w:r>
            <w:r w:rsidR="00BB15D2" w:rsidRPr="00905055">
              <w:rPr>
                <w:rFonts w:asciiTheme="minorHAnsi" w:hAnsiTheme="minorHAnsi" w:cs="Arial"/>
              </w:rPr>
              <w:t>. As folhas do processo estão numeradas, e a numeração sequencial está adequada?</w:t>
            </w:r>
          </w:p>
        </w:tc>
        <w:tc>
          <w:tcPr>
            <w:tcW w:w="7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40E5A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768DD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EBBC7" w14:textId="77777777" w:rsidR="00BB15D2" w:rsidRPr="00905055" w:rsidRDefault="00BB15D2" w:rsidP="000D4781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BB15D2" w:rsidRPr="006A3C7D" w14:paraId="6C8524D5" w14:textId="77777777" w:rsidTr="00905055">
        <w:trPr>
          <w:trHeight w:val="327"/>
          <w:tblCellSpacing w:w="0" w:type="dxa"/>
          <w:jc w:val="center"/>
        </w:trPr>
        <w:tc>
          <w:tcPr>
            <w:tcW w:w="72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E5FBF38" w14:textId="7044CFEA" w:rsidR="00BB15D2" w:rsidRPr="00905055" w:rsidRDefault="001D0A2A" w:rsidP="00A24CC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4A6A95">
              <w:rPr>
                <w:rFonts w:asciiTheme="minorHAnsi" w:hAnsiTheme="minorHAnsi" w:cs="Arial"/>
              </w:rPr>
              <w:t>4</w:t>
            </w:r>
            <w:r w:rsidR="00BB15D2" w:rsidRPr="00905055">
              <w:rPr>
                <w:rFonts w:asciiTheme="minorHAnsi" w:hAnsiTheme="minorHAnsi" w:cs="Arial"/>
              </w:rPr>
              <w:t>. As folhas do processo estão sem rasuras?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7A379989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C425C14" w14:textId="77777777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20A26F0" w14:textId="36433B2F" w:rsidR="00BB15D2" w:rsidRPr="006A3C7D" w:rsidRDefault="00BB15D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537EF25" w14:textId="6E0716B2" w:rsidR="00C807BD" w:rsidRDefault="001C24AD" w:rsidP="008B5743">
      <w:pPr>
        <w:jc w:val="right"/>
        <w:rPr>
          <w:rFonts w:ascii="Ecofont_Spranq_eco_Sans" w:hAnsi="Ecofont_Spranq_eco_Sans"/>
        </w:rPr>
      </w:pPr>
      <w:r>
        <w:rPr>
          <w:rFonts w:ascii="Ecofont_Spranq_eco_Sans" w:hAnsi="Ecofont_Spranq_eco_Sans"/>
        </w:rPr>
        <w:t>Em, ______ / _______ / _________</w:t>
      </w:r>
    </w:p>
    <w:p w14:paraId="203BFE2D" w14:textId="77777777" w:rsidR="00C807BD" w:rsidRDefault="00C807BD" w:rsidP="008B5743">
      <w:pPr>
        <w:jc w:val="right"/>
        <w:rPr>
          <w:rFonts w:ascii="Ecofont_Spranq_eco_Sans" w:hAnsi="Ecofont_Spranq_eco_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551"/>
        <w:gridCol w:w="1410"/>
      </w:tblGrid>
      <w:tr w:rsidR="001C24AD" w14:paraId="073C16CF" w14:textId="77777777" w:rsidTr="001C24AD">
        <w:tc>
          <w:tcPr>
            <w:tcW w:w="4390" w:type="dxa"/>
          </w:tcPr>
          <w:p w14:paraId="325FE25A" w14:textId="3CFDECE6" w:rsidR="001C24AD" w:rsidRDefault="001C24AD" w:rsidP="001C24AD">
            <w:pPr>
              <w:jc w:val="center"/>
              <w:rPr>
                <w:rFonts w:ascii="Ecofont_Spranq_eco_Sans" w:hAnsi="Ecofont_Spranq_eco_Sans"/>
              </w:rPr>
            </w:pPr>
            <w:bookmarkStart w:id="2" w:name="_Hlk515527398"/>
            <w:r>
              <w:rPr>
                <w:rFonts w:ascii="Ecofont_Spranq_eco_Sans" w:hAnsi="Ecofont_Spranq_eco_Sans"/>
              </w:rPr>
              <w:t xml:space="preserve">Servidor Responsável </w:t>
            </w:r>
            <w:r w:rsidR="004A6A95">
              <w:rPr>
                <w:rFonts w:ascii="Ecofont_Spranq_eco_Sans" w:hAnsi="Ecofont_Spranq_eco_Sans"/>
              </w:rPr>
              <w:t>pela verificação</w:t>
            </w:r>
            <w:r>
              <w:rPr>
                <w:rFonts w:ascii="Ecofont_Spranq_eco_Sans" w:hAnsi="Ecofont_Spranq_eco_Sans"/>
              </w:rPr>
              <w:t xml:space="preserve"> </w:t>
            </w:r>
          </w:p>
        </w:tc>
        <w:tc>
          <w:tcPr>
            <w:tcW w:w="1701" w:type="dxa"/>
          </w:tcPr>
          <w:p w14:paraId="2152A4A2" w14:textId="45BA1328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2551" w:type="dxa"/>
          </w:tcPr>
          <w:p w14:paraId="237B5F27" w14:textId="3D5B3F65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Assinatura</w:t>
            </w:r>
          </w:p>
        </w:tc>
        <w:tc>
          <w:tcPr>
            <w:tcW w:w="1410" w:type="dxa"/>
          </w:tcPr>
          <w:p w14:paraId="4EFE2772" w14:textId="15A02D9B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Itens</w:t>
            </w:r>
          </w:p>
        </w:tc>
      </w:tr>
      <w:tr w:rsidR="001C24AD" w14:paraId="06AF31F2" w14:textId="77777777" w:rsidTr="001C24AD">
        <w:tc>
          <w:tcPr>
            <w:tcW w:w="4390" w:type="dxa"/>
          </w:tcPr>
          <w:p w14:paraId="2743C73C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701" w:type="dxa"/>
          </w:tcPr>
          <w:p w14:paraId="7D44C210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551" w:type="dxa"/>
          </w:tcPr>
          <w:p w14:paraId="6E3F1FF0" w14:textId="7A828C14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410" w:type="dxa"/>
          </w:tcPr>
          <w:p w14:paraId="06B91D8C" w14:textId="77777777" w:rsidR="001C24AD" w:rsidRDefault="001C24AD" w:rsidP="00C807BD">
            <w:pPr>
              <w:jc w:val="center"/>
              <w:rPr>
                <w:rFonts w:ascii="Ecofont_Spranq_eco_Sans" w:hAnsi="Ecofont_Spranq_eco_Sans"/>
              </w:rPr>
            </w:pPr>
          </w:p>
        </w:tc>
      </w:tr>
      <w:bookmarkEnd w:id="2"/>
    </w:tbl>
    <w:p w14:paraId="7809D2D8" w14:textId="77777777" w:rsidR="001C24AD" w:rsidRDefault="001C24AD" w:rsidP="00C807BD">
      <w:pPr>
        <w:jc w:val="center"/>
        <w:rPr>
          <w:rFonts w:ascii="Ecofont_Spranq_eco_Sans" w:hAnsi="Ecofont_Spranq_eco_Sans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673"/>
        <w:gridCol w:w="2126"/>
        <w:gridCol w:w="3261"/>
      </w:tblGrid>
      <w:tr w:rsidR="001C24AD" w14:paraId="26B52AC9" w14:textId="77777777" w:rsidTr="001C24AD">
        <w:trPr>
          <w:trHeight w:val="810"/>
        </w:trPr>
        <w:tc>
          <w:tcPr>
            <w:tcW w:w="4673" w:type="dxa"/>
          </w:tcPr>
          <w:p w14:paraId="2944AE83" w14:textId="0D2FC113" w:rsidR="001C24AD" w:rsidRDefault="001C24AD" w:rsidP="001C24A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Autoridade Competente da Unidade Gestora (ordenador de Despesas)</w:t>
            </w:r>
          </w:p>
        </w:tc>
        <w:tc>
          <w:tcPr>
            <w:tcW w:w="2126" w:type="dxa"/>
          </w:tcPr>
          <w:p w14:paraId="4AE79CC0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3261" w:type="dxa"/>
          </w:tcPr>
          <w:p w14:paraId="32753E54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  <w:r>
              <w:rPr>
                <w:rFonts w:ascii="Ecofont_Spranq_eco_Sans" w:hAnsi="Ecofont_Spranq_eco_Sans"/>
              </w:rPr>
              <w:t>Assinatura</w:t>
            </w:r>
          </w:p>
        </w:tc>
      </w:tr>
      <w:tr w:rsidR="001C24AD" w14:paraId="448C6A67" w14:textId="77777777" w:rsidTr="001C24AD">
        <w:tc>
          <w:tcPr>
            <w:tcW w:w="4673" w:type="dxa"/>
          </w:tcPr>
          <w:p w14:paraId="0F3739AA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126" w:type="dxa"/>
          </w:tcPr>
          <w:p w14:paraId="54ABDDA9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3261" w:type="dxa"/>
          </w:tcPr>
          <w:p w14:paraId="6063915B" w14:textId="77777777" w:rsidR="001C24AD" w:rsidRDefault="001C24AD" w:rsidP="00B4079D">
            <w:pPr>
              <w:jc w:val="center"/>
              <w:rPr>
                <w:rFonts w:ascii="Ecofont_Spranq_eco_Sans" w:hAnsi="Ecofont_Spranq_eco_Sans"/>
              </w:rPr>
            </w:pPr>
          </w:p>
        </w:tc>
      </w:tr>
    </w:tbl>
    <w:p w14:paraId="3B85246A" w14:textId="77777777" w:rsidR="001C24AD" w:rsidRDefault="001C24AD" w:rsidP="001C24AD">
      <w:pPr>
        <w:rPr>
          <w:rFonts w:ascii="Ecofont_Spranq_eco_Sans" w:hAnsi="Ecofont_Spranq_eco_Sans"/>
        </w:rPr>
      </w:pPr>
    </w:p>
    <w:p w14:paraId="6013812B" w14:textId="77777777" w:rsidR="00C807BD" w:rsidRDefault="00C807BD" w:rsidP="001C24AD">
      <w:pPr>
        <w:rPr>
          <w:rFonts w:ascii="Ecofont_Spranq_eco_Sans" w:hAnsi="Ecofont_Spranq_eco_Sans"/>
        </w:rPr>
      </w:pPr>
    </w:p>
    <w:sectPr w:rsidR="00C807BD" w:rsidSect="005F690B">
      <w:headerReference w:type="default" r:id="rId10"/>
      <w:footerReference w:type="default" r:id="rId11"/>
      <w:pgSz w:w="11906" w:h="16838"/>
      <w:pgMar w:top="1418" w:right="85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9368E" w14:textId="77777777" w:rsidR="006A47ED" w:rsidRDefault="006A47ED" w:rsidP="004C31ED">
      <w:pPr>
        <w:spacing w:before="0"/>
      </w:pPr>
      <w:r>
        <w:separator/>
      </w:r>
    </w:p>
  </w:endnote>
  <w:endnote w:type="continuationSeparator" w:id="0">
    <w:p w14:paraId="6D732DE8" w14:textId="77777777" w:rsidR="006A47ED" w:rsidRDefault="006A47ED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31D2" w14:textId="4AAD8220" w:rsidR="001C24AD" w:rsidRPr="00AF37C2" w:rsidRDefault="00242250" w:rsidP="001C24AD">
    <w:pPr>
      <w:jc w:val="right"/>
      <w:rPr>
        <w:rFonts w:ascii="Ecofont_Spranq_eco_Sans" w:hAnsi="Ecofont_Spranq_eco_Sans"/>
        <w:sz w:val="16"/>
      </w:rPr>
    </w:pPr>
    <w:proofErr w:type="gramStart"/>
    <w:r w:rsidRPr="00AF37C2">
      <w:rPr>
        <w:rFonts w:ascii="Ecofont_Spranq_eco_Sans" w:hAnsi="Ecofont_Spranq_eco_Sans"/>
        <w:sz w:val="16"/>
      </w:rPr>
      <w:t>V3.</w:t>
    </w:r>
    <w:proofErr w:type="gramEnd"/>
    <w:r w:rsidRPr="00AF37C2">
      <w:rPr>
        <w:rFonts w:ascii="Ecofont_Spranq_eco_Sans" w:hAnsi="Ecofont_Spranq_eco_Sans"/>
        <w:sz w:val="16"/>
      </w:rPr>
      <w:t xml:space="preserve">1 - Atualizada pela DLC/PROGEST em 03/07/18 </w:t>
    </w:r>
  </w:p>
  <w:p w14:paraId="47770F4A" w14:textId="77777777" w:rsidR="001C24AD" w:rsidRDefault="001C24AD" w:rsidP="001C24A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CCF8" w14:textId="77777777" w:rsidR="006A47ED" w:rsidRDefault="006A47ED" w:rsidP="004C31ED">
      <w:pPr>
        <w:spacing w:before="0"/>
      </w:pPr>
      <w:r>
        <w:separator/>
      </w:r>
    </w:p>
  </w:footnote>
  <w:footnote w:type="continuationSeparator" w:id="0">
    <w:p w14:paraId="7F875057" w14:textId="77777777" w:rsidR="006A47ED" w:rsidRDefault="006A47ED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818B" w14:textId="665D6FA2" w:rsidR="000A3683" w:rsidRDefault="004E06F5" w:rsidP="004E06F5">
    <w:pPr>
      <w:pStyle w:val="Cabealho"/>
      <w:jc w:val="center"/>
    </w:pPr>
    <w:r>
      <w:rPr>
        <w:noProof/>
      </w:rPr>
      <w:drawing>
        <wp:inline distT="0" distB="0" distL="0" distR="0" wp14:anchorId="5B257F99" wp14:editId="74CFE3A7">
          <wp:extent cx="5470525" cy="94615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06AE8"/>
    <w:rsid w:val="000133B0"/>
    <w:rsid w:val="00053C53"/>
    <w:rsid w:val="000A3683"/>
    <w:rsid w:val="000C21C9"/>
    <w:rsid w:val="000C23E1"/>
    <w:rsid w:val="000D4781"/>
    <w:rsid w:val="000D7AE7"/>
    <w:rsid w:val="00110BD3"/>
    <w:rsid w:val="001535D3"/>
    <w:rsid w:val="00184B6F"/>
    <w:rsid w:val="001C24AD"/>
    <w:rsid w:val="001C6729"/>
    <w:rsid w:val="001D0A2A"/>
    <w:rsid w:val="001D5EA6"/>
    <w:rsid w:val="0020280D"/>
    <w:rsid w:val="00202CDE"/>
    <w:rsid w:val="00210F0E"/>
    <w:rsid w:val="00242250"/>
    <w:rsid w:val="002933A0"/>
    <w:rsid w:val="002A2167"/>
    <w:rsid w:val="002B3F6F"/>
    <w:rsid w:val="002E663C"/>
    <w:rsid w:val="003102E2"/>
    <w:rsid w:val="00311765"/>
    <w:rsid w:val="00372D70"/>
    <w:rsid w:val="00392767"/>
    <w:rsid w:val="003956E8"/>
    <w:rsid w:val="003B266F"/>
    <w:rsid w:val="003C04D6"/>
    <w:rsid w:val="003E4CE7"/>
    <w:rsid w:val="003F1332"/>
    <w:rsid w:val="003F33BD"/>
    <w:rsid w:val="004517ED"/>
    <w:rsid w:val="004655EB"/>
    <w:rsid w:val="00486691"/>
    <w:rsid w:val="004A6A95"/>
    <w:rsid w:val="004B7F56"/>
    <w:rsid w:val="004C31ED"/>
    <w:rsid w:val="004C5015"/>
    <w:rsid w:val="004D402D"/>
    <w:rsid w:val="004D68EC"/>
    <w:rsid w:val="004E06F5"/>
    <w:rsid w:val="004E532E"/>
    <w:rsid w:val="005218A3"/>
    <w:rsid w:val="005331A1"/>
    <w:rsid w:val="005C040F"/>
    <w:rsid w:val="005C7731"/>
    <w:rsid w:val="005F690B"/>
    <w:rsid w:val="00601A6C"/>
    <w:rsid w:val="0066066C"/>
    <w:rsid w:val="006726D1"/>
    <w:rsid w:val="006972A6"/>
    <w:rsid w:val="006A3C7D"/>
    <w:rsid w:val="006A47ED"/>
    <w:rsid w:val="006A5DE1"/>
    <w:rsid w:val="006E05CC"/>
    <w:rsid w:val="0072380D"/>
    <w:rsid w:val="007731C8"/>
    <w:rsid w:val="007A40E3"/>
    <w:rsid w:val="007B7624"/>
    <w:rsid w:val="007F4BE5"/>
    <w:rsid w:val="00807292"/>
    <w:rsid w:val="0081782A"/>
    <w:rsid w:val="00833FAE"/>
    <w:rsid w:val="008406D5"/>
    <w:rsid w:val="00851ABD"/>
    <w:rsid w:val="00867048"/>
    <w:rsid w:val="008738E1"/>
    <w:rsid w:val="00874D21"/>
    <w:rsid w:val="00886FF6"/>
    <w:rsid w:val="008A4D20"/>
    <w:rsid w:val="008A57BD"/>
    <w:rsid w:val="008B5743"/>
    <w:rsid w:val="008C47FD"/>
    <w:rsid w:val="008D1424"/>
    <w:rsid w:val="008D254C"/>
    <w:rsid w:val="008D6217"/>
    <w:rsid w:val="00901BBF"/>
    <w:rsid w:val="00905055"/>
    <w:rsid w:val="00922548"/>
    <w:rsid w:val="0096754C"/>
    <w:rsid w:val="009E0C5A"/>
    <w:rsid w:val="00A062B3"/>
    <w:rsid w:val="00A11B9E"/>
    <w:rsid w:val="00A16FD7"/>
    <w:rsid w:val="00A22580"/>
    <w:rsid w:val="00A24CC7"/>
    <w:rsid w:val="00A41862"/>
    <w:rsid w:val="00A41C5E"/>
    <w:rsid w:val="00A56B47"/>
    <w:rsid w:val="00A70FC7"/>
    <w:rsid w:val="00A775D4"/>
    <w:rsid w:val="00AA2C8B"/>
    <w:rsid w:val="00AA3238"/>
    <w:rsid w:val="00AE47FE"/>
    <w:rsid w:val="00AF15EC"/>
    <w:rsid w:val="00AF37C2"/>
    <w:rsid w:val="00B305CB"/>
    <w:rsid w:val="00BB15D2"/>
    <w:rsid w:val="00BC0CCE"/>
    <w:rsid w:val="00BD1261"/>
    <w:rsid w:val="00BD12A5"/>
    <w:rsid w:val="00BE3D49"/>
    <w:rsid w:val="00BF1CE5"/>
    <w:rsid w:val="00BF20EC"/>
    <w:rsid w:val="00BF6AC2"/>
    <w:rsid w:val="00C50B6B"/>
    <w:rsid w:val="00C7592B"/>
    <w:rsid w:val="00C807BD"/>
    <w:rsid w:val="00C94E08"/>
    <w:rsid w:val="00CB4441"/>
    <w:rsid w:val="00CF117D"/>
    <w:rsid w:val="00D34D55"/>
    <w:rsid w:val="00D41131"/>
    <w:rsid w:val="00D61AA8"/>
    <w:rsid w:val="00D655A9"/>
    <w:rsid w:val="00D70F77"/>
    <w:rsid w:val="00D86566"/>
    <w:rsid w:val="00DA58C5"/>
    <w:rsid w:val="00DD0838"/>
    <w:rsid w:val="00DF3D84"/>
    <w:rsid w:val="00E272A7"/>
    <w:rsid w:val="00E35212"/>
    <w:rsid w:val="00E8264C"/>
    <w:rsid w:val="00EF418A"/>
    <w:rsid w:val="00F97F13"/>
    <w:rsid w:val="00FA47F5"/>
    <w:rsid w:val="00FA6FD5"/>
    <w:rsid w:val="00FA72A1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3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u.gov.br/page/content/detail/id_conteudo/19183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C374-F765-41A6-AD12-AFA962EF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1359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DLC-PC</cp:lastModifiedBy>
  <cp:revision>5</cp:revision>
  <dcterms:created xsi:type="dcterms:W3CDTF">2018-06-25T15:10:00Z</dcterms:created>
  <dcterms:modified xsi:type="dcterms:W3CDTF">2018-07-03T18:45:00Z</dcterms:modified>
</cp:coreProperties>
</file>