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B8" w:rsidRDefault="001350B8" w:rsidP="008B6E97">
      <w:pPr>
        <w:pStyle w:val="TCU-Ac-item9-1Linha"/>
        <w:spacing w:after="0"/>
      </w:pPr>
    </w:p>
    <w:p w:rsidR="001350B8" w:rsidRDefault="001350B8" w:rsidP="008B6E97">
      <w:pPr>
        <w:pStyle w:val="TCU-Ac-item9-1Linha"/>
        <w:spacing w:after="0"/>
        <w:jc w:val="center"/>
      </w:pPr>
      <w:r>
        <w:rPr>
          <w:b/>
        </w:rPr>
        <w:t>ACÓRDÃO Nº 7824/2014 - TCU - 1ª Câmara</w:t>
      </w:r>
    </w:p>
    <w:p w:rsidR="00CE129E" w:rsidRDefault="00CE129E" w:rsidP="008B6E97">
      <w:pPr>
        <w:pStyle w:val="TCU-Ac-item9-1Linha"/>
        <w:spacing w:after="0"/>
        <w:jc w:val="center"/>
      </w:pPr>
    </w:p>
    <w:p w:rsidR="00CE129E" w:rsidRPr="008C2497" w:rsidRDefault="00CE129E" w:rsidP="00CD24CF">
      <w:pPr>
        <w:tabs>
          <w:tab w:val="left" w:pos="1134"/>
        </w:tabs>
        <w:spacing w:after="120"/>
        <w:ind w:firstLine="1134"/>
        <w:jc w:val="both"/>
        <w:rPr>
          <w:rFonts w:eastAsia="Times New Roman"/>
        </w:rPr>
      </w:pPr>
      <w:r w:rsidRPr="008C2497">
        <w:rPr>
          <w:rFonts w:eastAsia="Times New Roman"/>
        </w:rPr>
        <w:t>Os Ministros do Tribunal de Contas da União ACORDAM, por unanimidade, de acordo com os pareceres emitidos nos autos:</w:t>
      </w:r>
    </w:p>
    <w:p w:rsidR="00CE129E" w:rsidRPr="008C2497" w:rsidRDefault="00CE129E" w:rsidP="00CD24CF">
      <w:pPr>
        <w:tabs>
          <w:tab w:val="left" w:pos="1134"/>
        </w:tabs>
        <w:spacing w:after="120"/>
        <w:jc w:val="both"/>
        <w:rPr>
          <w:rFonts w:eastAsia="Times New Roman"/>
        </w:rPr>
      </w:pPr>
      <w:r w:rsidRPr="008C2497">
        <w:rPr>
          <w:rFonts w:eastAsia="Times New Roman"/>
        </w:rPr>
        <w:t xml:space="preserve">a) </w:t>
      </w:r>
      <w:r w:rsidRPr="008C2497">
        <w:rPr>
          <w:rFonts w:eastAsia="Times New Roman"/>
        </w:rPr>
        <w:tab/>
        <w:t xml:space="preserve">com fundamento nos arts. 1º, inciso I, 16, inciso II, 18 e 23, inciso II, da Lei 8.443/1992, c/c os arts. 1º, inciso I, 143, inciso I, alínea "a", 208 e 214, inciso II, do Regimento Interno/TCU, em julgar regulares com ressalva as contas </w:t>
      </w:r>
      <w:r w:rsidR="00CD24CF">
        <w:rPr>
          <w:rFonts w:eastAsia="Times New Roman"/>
        </w:rPr>
        <w:t xml:space="preserve">de </w:t>
      </w:r>
      <w:r w:rsidR="00CD24CF" w:rsidRPr="00244FD1">
        <w:rPr>
          <w:szCs w:val="24"/>
        </w:rPr>
        <w:t>Anísio Brasileiro de Freitas Dourado</w:t>
      </w:r>
      <w:r w:rsidRPr="008C2497">
        <w:rPr>
          <w:rFonts w:eastAsia="Times New Roman"/>
        </w:rPr>
        <w:t>, dando-lhe quitação;</w:t>
      </w:r>
    </w:p>
    <w:p w:rsidR="00CE129E" w:rsidRPr="008C2497" w:rsidRDefault="00CE129E" w:rsidP="00CD24CF">
      <w:pPr>
        <w:tabs>
          <w:tab w:val="left" w:pos="1134"/>
        </w:tabs>
        <w:spacing w:after="120"/>
        <w:jc w:val="both"/>
        <w:rPr>
          <w:rFonts w:eastAsia="Times New Roman"/>
        </w:rPr>
      </w:pPr>
      <w:r w:rsidRPr="008C2497">
        <w:rPr>
          <w:rFonts w:eastAsia="Times New Roman"/>
        </w:rPr>
        <w:t>b)</w:t>
      </w:r>
      <w:r w:rsidRPr="008C2497">
        <w:rPr>
          <w:rFonts w:eastAsia="Times New Roman"/>
        </w:rPr>
        <w:tab/>
        <w:t>com fundamento nos arts. 1º, inciso I, 16, inciso I, 17 e 23, inciso I, da Lei 8.443/1992 c/c os arts. 1º, inciso I, 143, inciso I, alínea "a", 207 e 214, inciso I, do Regimento Interno/TCU, em julgar regulares as contas dos responsáveis indicados no item 1.1, com exceção do mencionado na alínea anterior, dando-lhes quitação plena; e</w:t>
      </w:r>
    </w:p>
    <w:p w:rsidR="00CE129E" w:rsidRPr="006704D6" w:rsidRDefault="00CE129E" w:rsidP="00CD24CF">
      <w:pPr>
        <w:tabs>
          <w:tab w:val="left" w:pos="1134"/>
        </w:tabs>
        <w:spacing w:after="120"/>
        <w:jc w:val="both"/>
        <w:rPr>
          <w:rFonts w:eastAsia="Times New Roman"/>
        </w:rPr>
      </w:pPr>
      <w:r w:rsidRPr="008C2497">
        <w:rPr>
          <w:rFonts w:eastAsia="Times New Roman"/>
        </w:rPr>
        <w:t xml:space="preserve">c) </w:t>
      </w:r>
      <w:r w:rsidRPr="008C2497">
        <w:rPr>
          <w:rFonts w:eastAsia="Times New Roman"/>
        </w:rPr>
        <w:tab/>
      </w:r>
      <w:r w:rsidR="00CD24CF">
        <w:rPr>
          <w:rFonts w:eastAsia="Times New Roman"/>
        </w:rPr>
        <w:t>adotar as medidas consignadas nos itens a seguir:</w:t>
      </w:r>
    </w:p>
    <w:p w:rsidR="00CE129E" w:rsidRDefault="00CE129E" w:rsidP="008B6E97">
      <w:pPr>
        <w:pStyle w:val="TCU-Ac-item9-1Linha"/>
        <w:spacing w:after="0"/>
        <w:jc w:val="center"/>
      </w:pPr>
    </w:p>
    <w:p w:rsidR="00CE129E" w:rsidRDefault="00CE129E" w:rsidP="008B6E97">
      <w:pPr>
        <w:pStyle w:val="TCU-Ac-item9-1Linha"/>
        <w:spacing w:after="0"/>
      </w:pPr>
      <w:r>
        <w:rPr>
          <w:b/>
        </w:rPr>
        <w:t>1. Processo TC-019.316/2014-3 (PRESTAÇÃO DE CONTAS - Exercício: 2013)</w:t>
      </w:r>
    </w:p>
    <w:p w:rsidR="00CE129E" w:rsidRDefault="00CE129E" w:rsidP="008B6E97">
      <w:pPr>
        <w:pStyle w:val="TCU-Ac-item9-1Linha"/>
        <w:spacing w:after="0"/>
      </w:pPr>
      <w:r>
        <w:tab/>
        <w:t xml:space="preserve">1.1. Responsáveis: Abel Viera Neto (071.862.234-00); Adiel Teixeira de Almeida (103.355.794-34); Afonso Henrique Sobreira de Oliveira (387.783.434-53); Alexandre Ricardo Pereira Schuler (176.004.307-97); Alexandre Viana Araújo (342.710.664-00); Alfredo Macedo Gomes (419.720.744-15); Alvaro Barrantes Hidaldo (039.815.568-28); Amaro Henrique Pessoa Lins (128.476.154-15); Ana Augusta de Andrade Cordeiro (688.736.384-49); Ana Catarina Peregrino Torres (299.184.644-53); Ana Cristina de Almeida Fernandes (141.735.904-82); Ana Maria Santos Cabral (069.848.194-15); Ana Paula Celso de Miranda (642.899.664-20); Ana Paula Henrique Gusmão de Araujo Lima (043.265.384-81); Andre Luiz de Miranda Martins (834.473.694-34); Andrea Sales Soares de Azevedo Melo (227.449.081-34); André Luís de Medeiros Santos (622.856.614-87); Aneide Rocha de Marcos Rabelo (459.444.824-00); Anisio Brasileiro de Freitas Dourado (127.044.234-15); Anna Elizabeth Galvão Coutinho (345.194.244-53); Antônio Celso Dantas Antonino (381.997.694-91); Antônio César Cardim Brito (103.115.054-49); Antônio Torres Montenegro (075.136.074-00); Armele de Fátima Dornellas de Andrade (275.782.084-20); Augusto Cesar Pessoa Santiago (025.695.024-56); Carlos Alberto Cunha de Miranda (126.905.624-72); Carmem Lucia de Sousa Meneses (077.600.003-91); Celia Maria Machado Barbosa de Castro (119.591.343-53); Claúdia Regina Oliveira de Paiva Lima (375.541.404-00); Cláudio Heliomar Vicente da Silva (446.604.643-34); Cláudio Roberto Cintra Bezerra Brandão (820.237.004-34); Cristiane Maria Galdino de Almeida (361.575.204-00); Cristina Maria de Souza Motta (463.204.744-91); Dalva Rodrigues Bezerra de Almeida (053.845.164-53); Daniel Álvares Rodrigues (632.758.724-00); David Ricardo Colaço Bezerra (767.544.484-15); Denilson Bezerra Marques (695.012.544-53); Dirceu Tavares de Carvalho Lima Filho (193.534.304-10); Dorivalda Santos Medeiros Meira (009.657.764-92); Edilson Fernandes de Souza (377.786.924-49); Edleide Maria Freitas Pires (124.074.454-49); Edlgleide Maria de Figueiroa Barretto (142.101.264-20); Edmilson Santos de Lima (157.745.034-53); Edna Natividade da Silva Barros (399.735.144-91); Eduíla Maria Couto Santos (034.542.214-71); Efrem de Aguiar Maranhao (090.181.904-20); Elainne Chistine de Souza Gomes (028.603.194-92); Enivaldo Carvalho da Rocha (113.290.924-49); Fabíola Santos Albuquerque (625.337.974-72); Fernando Luís de Araújo Machado (078.168.554-00); Florisbela de Arruda Camara e Siqueira (104.712.354-15); Flávio Antônio Miranda de Souza (745.353.744-49); Flávio Henrique Albert Brayner (171.565.724-15); Francisco Antônio de Barros e Silva Neto (935.016.414-00); Francisco Jaime Bezerra Mendonça (515.584.918-72); Francisco de Assis Tenório de Carvalho (318.764.394-91); Francisco de Queiroz Bezerra Cavalcanti (142.531.784-72); Francisco de Sousa Ramos (141.470.254-04); George Browne Rego (003.103.284-20); Gilane de Lima e Silva (594.641.194-20); Gláucia Renata Pereira do Nascimento </w:t>
      </w:r>
      <w:r>
        <w:lastRenderedPageBreak/>
        <w:t>(631.490.284-34); Glória Maria Widmer (165.972.888-66); Gustavo Just da Costa e Silva (819.687.874-53); Haroldo Moraes de Figueiredo (027.785.234-05); Heloísa Ramos Lacerda de Melo (618.235.899-87); Hercília Melo do Nascimento (058.276.384-39); Hermano Perreli de Moura (150.194.974-87); Isaltina Maria de Azevedo Mello Gomes (128.386.244-15); Ivanildo de Figueiredo Andrade de Oliveira Filho (166.817.624-68); Ivanise Helena Bezerra Torres (138.280.884-49); Jan Bitoun (244.807.034-20); Janete Maria Lins de Azevedo (255.187.124-72); Jeronymo Jose Libonati (415.510.364-87); José Augusto Suruagy Monteiro (136.954.104-00); José Batista Neto (179.030.684-15); José Eduardo Garcia (134.783.518-04); José Luis Simões (162.833.668-48); José Mitermaia de Olinda (007.435.932-00); José Thadeu Pinheiro (091.889.834-04); Jowania Rosas de Melo (172.711.184-20); Leandro Chaves Rêgo (933.751.584-91); Lenita Almeida Amaral (400.385.644-91); Leonor Costa Maia (193.804.294-87); Luciana Grassano de Gouvea Melo (766.354.494-34); Luziana Carvalho de Albuquerque Maranhão (329.942.064-04); Lúcio Hora Acioli (239.133.981-04); Marcelo Navarro (071.493.348-14); Marco Tullio Castro Vasconcelos (312.826.604-20); Marcos Antonio Viegas Filho (021.893.894-29); Marcos Aurelio Guedes de Oliveira (217.998.654-87); Maria Eduarda Lacerda de Larrazábal da Silva (141.833.744-72); Maria Jose de Matos Luna (165.948.274-72); Maria José de Jesus Figueiroa (062.131.704-72); Maria Teresa Jansem de Almeida Catanho (149.678.984-91); Maria Tereza dos Santos Correia (138.547.554-49); Maria de Fatima Galdino da Silveira (670.690.614-04); Mauricio Oliveira de Andrade (193.739.614-20); Miriam Damasceno Padllha (171.372.254-20); Moacyr Cunha de Araujo Filho (371.056.394-15); Mozart Neves Ramos (185.030.714-87); Murilo Artur de Araújo da Silveira (032.046.894-17); Neide Santos (465.940.944-91); Nelson Souto Rosa (735.733.104-00); Nicodemos Teles de Pontes Filho (053.307.774-53); Niedja Paula Silva Veras de Albuquerque (781.077.254-68); Noemia Pereira da Silva Santos (642.058.514-72); Nélio Vieira de Melo (405.395.204-20); Oliane Maria Correia Magalhaes (550.404.974-15); Oscar Bandeira Coutinho Neto (147.335.874-49); Osmar Veras Araujo (818.822.624-68); Pablo Gustavo Albuquerque Braz e Silva (917.485.934-04); Paulo André da Silva Gonçalves (070.344.367-46); Paulo Jorge Parreira dos Santos (997.283.207-44); Paulo Roberto Maciel Lyra (317.245.824-53); Paulo Roberto de Santana (126.762.254-72); Paulo Romero Martins Maciel (311.013.804-20); Renato José de Sobral Cintra (022.484.394-07); Ricardo Massa Ferreira Lima (783.345.194-00); Roberta Ramos Marques (870.046.904-15); Rosângela Tenório de Carvalho (127.641.244-49); Sandra Sampaio Vianna (037.906.488-09); Silene Carneiro do Nascimento (068.944.614-49); Silvio Romero de Barros Marques (033.958.474-20); Simone Maria da Cruz Gonçalves (113.418.904-49); Telma Ferraz Leal (401.288.814-53); Thyana Farias Galvão de Barros (905.532.764-68); Tícia Cassiany Ferro Cavalcanti (774.503.374-87); Vânia Pinheiro Ramos (127.178.514-53); Walter Franklin Marques Correia (028.099.934-83); Wellington Pinheiro dos Santos (026.158.034-50); Wilza Maria Aparecida de Melo (428.186.564-00); Yeda Medeiros Bastos de Almeida (399.033.384-49); Zelia Maria de Araujo (246.059.564-68)</w:t>
      </w:r>
    </w:p>
    <w:p w:rsidR="00CE129E" w:rsidRDefault="00CE129E" w:rsidP="008B6E97">
      <w:pPr>
        <w:pStyle w:val="TCU-Ac-item9-1Linha"/>
        <w:spacing w:after="0"/>
      </w:pPr>
      <w:r>
        <w:tab/>
        <w:t>1.2. Órgão/Entidade: Universidade Federal de Pernambuco</w:t>
      </w:r>
    </w:p>
    <w:p w:rsidR="00CE129E" w:rsidRDefault="00CE129E" w:rsidP="008B6E97">
      <w:pPr>
        <w:pStyle w:val="TCU-Ac-item9-1Linha"/>
        <w:spacing w:after="0"/>
      </w:pPr>
      <w:r>
        <w:tab/>
        <w:t>1.3. Relator: Ministro Bruno Dantas</w:t>
      </w:r>
    </w:p>
    <w:p w:rsidR="00CE129E" w:rsidRDefault="00CE129E" w:rsidP="008B6E97">
      <w:pPr>
        <w:pStyle w:val="TCU-Ac-item9-1Linha"/>
        <w:spacing w:after="0"/>
      </w:pPr>
      <w:r>
        <w:tab/>
        <w:t>1.4. Representante do Ministério Público: Procurador Júlio Marcelo de Oliveira</w:t>
      </w:r>
    </w:p>
    <w:p w:rsidR="00CE129E" w:rsidRDefault="00CE129E" w:rsidP="008B6E97">
      <w:pPr>
        <w:pStyle w:val="TCU-Ac-item9-1Linha"/>
        <w:spacing w:after="0"/>
      </w:pPr>
      <w:r>
        <w:tab/>
        <w:t>1.5. Unidade Técnica: Secretaria de Controle Externo no Estado de Pernambuco (SECEX-PE).</w:t>
      </w:r>
    </w:p>
    <w:p w:rsidR="00CE129E" w:rsidRDefault="00CE129E" w:rsidP="008B6E97">
      <w:pPr>
        <w:pStyle w:val="TCU-Ac-item9-1Linha"/>
        <w:spacing w:after="0"/>
      </w:pPr>
      <w:r>
        <w:tab/>
        <w:t>1.6. Advogado constituído nos autos: não há.</w:t>
      </w:r>
    </w:p>
    <w:p w:rsidR="00CD24CF" w:rsidRDefault="00CE129E" w:rsidP="00CD24CF">
      <w:pPr>
        <w:pStyle w:val="TCU-Ac-item9-1Linha"/>
        <w:spacing w:after="0"/>
      </w:pPr>
      <w:r>
        <w:tab/>
        <w:t xml:space="preserve">1.7. </w:t>
      </w:r>
      <w:r w:rsidR="00CD24CF">
        <w:t>recomendar à UFPE, no que se refere à gestão de pessoas, que avalie a conveniência e a oportunidade de:</w:t>
      </w:r>
    </w:p>
    <w:p w:rsidR="00CD24CF" w:rsidRDefault="00CD24CF" w:rsidP="00CD24CF">
      <w:pPr>
        <w:pStyle w:val="TCU-Ac-item9-1Linha"/>
        <w:spacing w:after="0"/>
      </w:pPr>
      <w:r>
        <w:t xml:space="preserve"> </w:t>
      </w:r>
      <w:r>
        <w:tab/>
        <w:t>1.7.1. atribuir a algum dos conselhos da Universidade ou a comissões já instituídas a competência de assessorar a administração na gestão de pessoas da UFPE abrangendo servidores técnico/administrativo;</w:t>
      </w:r>
    </w:p>
    <w:p w:rsidR="00CD24CF" w:rsidRDefault="00CD24CF" w:rsidP="00CD24CF">
      <w:pPr>
        <w:pStyle w:val="TCU-Ac-item9-1Linha"/>
        <w:spacing w:after="0"/>
      </w:pPr>
      <w:r>
        <w:tab/>
        <w:t>1.7.2. realizar ações para identificar potenciais líderes, orientadas pelo mapeamento das competências existentes e desejadas;</w:t>
      </w:r>
    </w:p>
    <w:p w:rsidR="00CD24CF" w:rsidRDefault="00CD24CF" w:rsidP="00CD24CF">
      <w:pPr>
        <w:pStyle w:val="TCU-Ac-item9-1Linha"/>
        <w:spacing w:after="0"/>
      </w:pPr>
      <w:r>
        <w:lastRenderedPageBreak/>
        <w:tab/>
        <w:t>1.7.3. instituir banco de talentos que facilite a identificação de candidatos ao exercício de cargos em comissão de natureza gerencial;</w:t>
      </w:r>
    </w:p>
    <w:p w:rsidR="00CD24CF" w:rsidRDefault="00CD24CF" w:rsidP="00CD24CF">
      <w:pPr>
        <w:pStyle w:val="TCU-Ac-item9-1Linha"/>
        <w:spacing w:after="0"/>
      </w:pPr>
      <w:r>
        <w:tab/>
        <w:t>1.7.4. realizar levantamento de necessidade de capacitação para a alta administração e para ocupantes de cargos eletivos;</w:t>
      </w:r>
    </w:p>
    <w:p w:rsidR="00CD24CF" w:rsidRDefault="00CD24CF" w:rsidP="00CD24CF">
      <w:pPr>
        <w:pStyle w:val="TCU-Ac-item9-1Linha"/>
        <w:spacing w:after="0"/>
      </w:pPr>
      <w:r>
        <w:tab/>
        <w:t>1.7.5. adotar avaliação de desempenho que abranja membros da alta administração, bem como que contenha indicadores que avalie o cumprimento das metas individuais dos servidores associadas a metas institucionais, de modo a desenvolver a cultura orientada a resultados, considerando o referencial de governança aplicado à prática de avaliação de desempenho;</w:t>
      </w:r>
    </w:p>
    <w:p w:rsidR="00CD24CF" w:rsidRDefault="00CD24CF" w:rsidP="00CD24CF">
      <w:pPr>
        <w:pStyle w:val="TCU-Ac-item9-1Linha"/>
        <w:spacing w:after="0"/>
      </w:pPr>
      <w:r>
        <w:tab/>
        <w:t>1.7.6. implementar processo de seleção para as funções e cargos de natureza gerencial, com base no princípio da impessoalidade, assegurando a avaliação dos perfis de competência dos candidatos, a transparência e a concorrência, exigindo, para os cargos eletivos, o cumprimento de capacitação na área gerencial.</w:t>
      </w:r>
    </w:p>
    <w:p w:rsidR="00CD24CF" w:rsidRDefault="00CD24CF" w:rsidP="00CD24CF">
      <w:pPr>
        <w:pStyle w:val="TCU-Ac-item9-1Linha"/>
        <w:spacing w:after="0"/>
      </w:pPr>
      <w:r>
        <w:tab/>
        <w:t>1.8. determinar à UFPE que encaminhe a este Tribunal plano de ação especificando as medidas a serem adotadas em relação as recomendações atinentes à governança de gestão de pessoas que o órgão decidiu implementar, os respectivos prazos e os responsáveis, bem como justificativa a respeito das recomendações que decidiu não adotar;</w:t>
      </w:r>
    </w:p>
    <w:p w:rsidR="00CD24CF" w:rsidRDefault="00CD24CF" w:rsidP="00CD24CF">
      <w:pPr>
        <w:pStyle w:val="TCU-Ac-item9-1Linha"/>
        <w:spacing w:after="0"/>
      </w:pPr>
      <w:r>
        <w:tab/>
        <w:t>1.9. recomendar à UFPE que, quando da adoção da recomendação expedida pela CGU a respeito de pagamentos a servidores de valores acima do teto constitucional, cujas rubricas e composição do abate teto são parametrizados pelo SIAPE, assegure o contraditório e ampla defesa aos interessados, considerando o teor da Súmula Vinculante 03 do STF;</w:t>
      </w:r>
    </w:p>
    <w:p w:rsidR="00CD24CF" w:rsidRDefault="00CD24CF" w:rsidP="00CD24CF">
      <w:pPr>
        <w:pStyle w:val="TCU-Ac-item9-1Linha"/>
        <w:spacing w:after="0"/>
      </w:pPr>
      <w:r>
        <w:tab/>
        <w:t>1.10. considerar concluído o monitoramento determinado no item 9.1 do Acórdão 1161/2013-TCU-Plenário e no item 1.9 do Acórdão 5403/2013-TCU-2ª Câmara;</w:t>
      </w:r>
    </w:p>
    <w:p w:rsidR="00CD24CF" w:rsidRDefault="00CD24CF" w:rsidP="00CD24CF">
      <w:pPr>
        <w:pStyle w:val="TCU-Ac-item9-1Linha"/>
        <w:spacing w:after="0"/>
      </w:pPr>
      <w:r>
        <w:tab/>
        <w:t>1.11. determinar à Secex/PE o monitoramento da dete</w:t>
      </w:r>
      <w:r w:rsidR="001567BA">
        <w:t>rminação contida no subitem 1.8;</w:t>
      </w:r>
    </w:p>
    <w:p w:rsidR="00CE129E" w:rsidRDefault="00CD24CF" w:rsidP="00CD24CF">
      <w:pPr>
        <w:pStyle w:val="TCU-Ac-item9-1Linha"/>
        <w:spacing w:after="0"/>
      </w:pPr>
      <w:r>
        <w:tab/>
        <w:t>1.12. dar conhecimento deste acordão, juntamente com cópia da instrução da unidade técnica (peça 35), à UFPE e arquivar os presentes autos.</w:t>
      </w:r>
    </w:p>
    <w:p w:rsidR="001350B8" w:rsidRDefault="001350B8" w:rsidP="008B6E97">
      <w:pPr>
        <w:pStyle w:val="TCU-Ac-item9-1Linha"/>
        <w:spacing w:after="0"/>
        <w:jc w:val="center"/>
      </w:pPr>
    </w:p>
    <w:sectPr w:rsidR="001350B8" w:rsidSect="00B44787">
      <w:headerReference w:type="default" r:id="rId7"/>
      <w:footerReference w:type="default" r:id="rId8"/>
      <w:pgSz w:w="11907" w:h="16839" w:code="9"/>
      <w:pgMar w:top="1134" w:right="1134" w:bottom="1134" w:left="1134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EC" w:rsidRDefault="00797DEC">
      <w:r>
        <w:separator/>
      </w:r>
    </w:p>
  </w:endnote>
  <w:endnote w:type="continuationSeparator" w:id="0">
    <w:p w:rsidR="00797DEC" w:rsidRDefault="00797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30" w:rsidRDefault="00A27430">
    <w:pPr>
      <w:pStyle w:val="Rodap"/>
      <w:jc w:val="right"/>
    </w:pPr>
    <w:fldSimple w:instr=" PAGE   \* MERGEFORMAT ">
      <w:r w:rsidR="00FE6912">
        <w:rPr>
          <w:noProof/>
        </w:rPr>
        <w:t>3</w:t>
      </w:r>
    </w:fldSimple>
  </w:p>
  <w:p w:rsidR="001350B8" w:rsidRDefault="001350B8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EC" w:rsidRDefault="00797DEC">
      <w:r>
        <w:separator/>
      </w:r>
    </w:p>
  </w:footnote>
  <w:footnote w:type="continuationSeparator" w:id="0">
    <w:p w:rsidR="00797DEC" w:rsidRDefault="00797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14" w:rsidRDefault="00797DEC">
    <w:pPr>
      <w:pStyle w:val="Cabealho"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.35pt;margin-top:36.2pt;width:496.05pt;height:47.8pt;z-index:251660288;mso-wrap-style:tight;mso-position-horizontal-relative:margin;mso-position-vertical-relative:page" stroked="f">
          <v:textbox style="mso-next-textbox:#_x0000_s2049;mso-rotate-with-shape:t" inset="5pt,2.83pt,5pt,5pt">
            <w:txbxContent>
              <w:p w:rsidR="00BA6214" w:rsidRPr="00A13DF5" w:rsidRDefault="00BA6214" w:rsidP="00C97811">
                <w:pPr>
                  <w:rPr>
                    <w:rFonts w:ascii="Arial Black" w:hAnsi="Arial Black"/>
                    <w:sz w:val="18"/>
                    <w:szCs w:val="18"/>
                  </w:rPr>
                </w:pPr>
                <w:r w:rsidRPr="00A13DF5">
                  <w:rPr>
                    <w:rFonts w:ascii="Arial Black" w:hAnsi="Arial Black"/>
                    <w:b/>
                    <w:sz w:val="18"/>
                    <w:szCs w:val="18"/>
                  </w:rPr>
                  <w:t>TRIBUNAL DE CONTAS DA UNIÃO</w:t>
                </w:r>
                <w:r w:rsidRPr="00A13DF5">
                  <w:rPr>
                    <w:rFonts w:ascii="Arial Black" w:hAnsi="Arial Black"/>
                    <w:sz w:val="18"/>
                    <w:szCs w:val="18"/>
                  </w:rPr>
                  <w:t xml:space="preserve"> </w:t>
                </w:r>
              </w:p>
              <w:p w:rsidR="00BA6214" w:rsidRPr="00A13DF5" w:rsidRDefault="00BA6214" w:rsidP="00C9781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13DF5">
                  <w:rPr>
                    <w:rFonts w:ascii="Arial" w:hAnsi="Arial" w:cs="Arial"/>
                    <w:sz w:val="18"/>
                    <w:szCs w:val="18"/>
                  </w:rPr>
                  <w:t>TCU - 1ª Câmara</w:t>
                </w:r>
              </w:p>
              <w:p w:rsidR="00BA6214" w:rsidRPr="00A13DF5" w:rsidRDefault="00BA6214" w:rsidP="00366F1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Relator: Ministro Bruno Dantas</w:t>
                </w:r>
              </w:p>
            </w:txbxContent>
          </v:textbox>
          <w10:wrap anchorx="margin" anchory="page"/>
        </v:shape>
      </w:pict>
    </w:r>
    <w:r w:rsidR="00FE691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-47625</wp:posOffset>
          </wp:positionV>
          <wp:extent cx="638175" cy="552450"/>
          <wp:effectExtent l="19050" t="0" r="9525" b="0"/>
          <wp:wrapThrough wrapText="bothSides">
            <wp:wrapPolygon edited="0">
              <wp:start x="-645" y="0"/>
              <wp:lineTo x="-645" y="20855"/>
              <wp:lineTo x="21922" y="20855"/>
              <wp:lineTo x="21922" y="0"/>
              <wp:lineTo x="-645" y="0"/>
            </wp:wrapPolygon>
          </wp:wrapThrough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350B8" w:rsidRDefault="001350B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5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9632F81"/>
    <w:multiLevelType w:val="multilevel"/>
    <w:tmpl w:val="E4FE8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  <w:color w:val="auto"/>
      </w:rPr>
    </w:lvl>
  </w:abstractNum>
  <w:abstractNum w:abstractNumId="2">
    <w:nsid w:val="21BD7F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5AC0EBD"/>
    <w:multiLevelType w:val="singleLevel"/>
    <w:tmpl w:val="536A99FA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  <w:b/>
        <w:bCs/>
        <w:i w:val="0"/>
        <w:iCs w:val="0"/>
        <w:sz w:val="16"/>
        <w:szCs w:val="16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0F19"/>
    <w:rsid w:val="00003A35"/>
    <w:rsid w:val="001350B8"/>
    <w:rsid w:val="001567BA"/>
    <w:rsid w:val="00210298"/>
    <w:rsid w:val="00244FD1"/>
    <w:rsid w:val="002E33D3"/>
    <w:rsid w:val="00366F16"/>
    <w:rsid w:val="0038092C"/>
    <w:rsid w:val="003D2B4A"/>
    <w:rsid w:val="00457355"/>
    <w:rsid w:val="00497738"/>
    <w:rsid w:val="004E1392"/>
    <w:rsid w:val="00532C2B"/>
    <w:rsid w:val="00634368"/>
    <w:rsid w:val="006704D6"/>
    <w:rsid w:val="00676BFF"/>
    <w:rsid w:val="006849BE"/>
    <w:rsid w:val="006855D7"/>
    <w:rsid w:val="00697EC9"/>
    <w:rsid w:val="006F6C70"/>
    <w:rsid w:val="00797DEC"/>
    <w:rsid w:val="007E38AF"/>
    <w:rsid w:val="008B6E97"/>
    <w:rsid w:val="008C0F19"/>
    <w:rsid w:val="008C2497"/>
    <w:rsid w:val="00A118BB"/>
    <w:rsid w:val="00A13DF5"/>
    <w:rsid w:val="00A27430"/>
    <w:rsid w:val="00A845DA"/>
    <w:rsid w:val="00AD3C90"/>
    <w:rsid w:val="00B44787"/>
    <w:rsid w:val="00BA6214"/>
    <w:rsid w:val="00BF7765"/>
    <w:rsid w:val="00C751A9"/>
    <w:rsid w:val="00C903E5"/>
    <w:rsid w:val="00C97811"/>
    <w:rsid w:val="00CD24CF"/>
    <w:rsid w:val="00CD6348"/>
    <w:rsid w:val="00CE129E"/>
    <w:rsid w:val="00D5644B"/>
    <w:rsid w:val="00DD7E44"/>
    <w:rsid w:val="00EA0779"/>
    <w:rsid w:val="00ED6C76"/>
    <w:rsid w:val="00FD0191"/>
    <w:rsid w:val="00FE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Plai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355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-142"/>
      </w:tabs>
      <w:jc w:val="both"/>
      <w:outlineLvl w:val="0"/>
    </w:pPr>
    <w:rPr>
      <w:color w:val="0000FF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szCs w:val="24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zzz">
    <w:name w:val="zzz"/>
    <w:basedOn w:val="Normal"/>
    <w:autoRedefine/>
    <w:uiPriority w:val="99"/>
    <w:pPr>
      <w:numPr>
        <w:numId w:val="252"/>
      </w:numPr>
      <w:tabs>
        <w:tab w:val="clear" w:pos="360"/>
        <w:tab w:val="num" w:pos="1418"/>
      </w:tabs>
      <w:spacing w:before="240"/>
      <w:jc w:val="both"/>
    </w:pPr>
    <w:rPr>
      <w:szCs w:val="24"/>
    </w:rPr>
  </w:style>
  <w:style w:type="paragraph" w:styleId="Corpodetexto2">
    <w:name w:val="Body Text 2"/>
    <w:basedOn w:val="Normal"/>
    <w:link w:val="Corpodetexto2Char"/>
    <w:uiPriority w:val="99"/>
    <w:pPr>
      <w:jc w:val="right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Sumrio1">
    <w:name w:val="toc 1"/>
    <w:basedOn w:val="Normal"/>
    <w:next w:val="Normal"/>
    <w:autoRedefine/>
    <w:uiPriority w:val="99"/>
    <w:pPr>
      <w:spacing w:before="120" w:after="120"/>
    </w:pPr>
    <w:rPr>
      <w:b/>
      <w:bCs/>
      <w:caps/>
    </w:rPr>
  </w:style>
  <w:style w:type="paragraph" w:styleId="TextosemFormatao">
    <w:name w:val="Plain Text"/>
    <w:basedOn w:val="Normal"/>
    <w:link w:val="TextosemFormataoChar"/>
    <w:uiPriority w:val="9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rPr>
      <w:rFonts w:cs="Times New Roman"/>
      <w:sz w:val="16"/>
      <w:szCs w:val="1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676BFF"/>
    <w:pPr>
      <w:tabs>
        <w:tab w:val="center" w:pos="4419"/>
        <w:tab w:val="right" w:pos="8838"/>
      </w:tabs>
      <w:autoSpaceDE/>
      <w:autoSpaceDN/>
      <w:spacing w:after="200" w:line="276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76BFF"/>
    <w:rPr>
      <w:rFonts w:ascii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SemEspaamento">
    <w:name w:val="No Spacing"/>
    <w:uiPriority w:val="1"/>
    <w:qFormat/>
    <w:rsid w:val="00C903E5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C903E5"/>
    <w:pPr>
      <w:jc w:val="center"/>
      <w:outlineLvl w:val="0"/>
    </w:pPr>
    <w:rPr>
      <w:rFonts w:eastAsiaTheme="majorEastAsia"/>
      <w:b/>
      <w:bCs/>
      <w:kern w:val="28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C903E5"/>
    <w:rPr>
      <w:rFonts w:ascii="Times New Roman" w:eastAsiaTheme="majorEastAsia" w:hAnsi="Times New Roman" w:cs="Times New Roman"/>
      <w:b/>
      <w:bCs/>
      <w:kern w:val="28"/>
      <w:sz w:val="32"/>
      <w:szCs w:val="32"/>
    </w:rPr>
  </w:style>
  <w:style w:type="paragraph" w:customStyle="1" w:styleId="TCU-Centralizado">
    <w:name w:val="TCU - Centralizado"/>
    <w:basedOn w:val="Normal"/>
    <w:qFormat/>
    <w:rsid w:val="006855D7"/>
    <w:pPr>
      <w:jc w:val="center"/>
    </w:pPr>
    <w:rPr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03E5"/>
    <w:pPr>
      <w:jc w:val="center"/>
      <w:outlineLvl w:val="1"/>
    </w:pPr>
    <w:rPr>
      <w:rFonts w:eastAsiaTheme="majorEastAs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C903E5"/>
    <w:rPr>
      <w:rFonts w:ascii="Times New Roman" w:eastAsiaTheme="majorEastAsia" w:hAnsi="Times New Roman" w:cs="Times New Roman"/>
      <w:sz w:val="24"/>
      <w:szCs w:val="24"/>
    </w:rPr>
  </w:style>
  <w:style w:type="paragraph" w:customStyle="1" w:styleId="TCU-Epgrafe">
    <w:name w:val="TCU - Epígrafe"/>
    <w:basedOn w:val="Normal"/>
    <w:qFormat/>
    <w:rsid w:val="006855D7"/>
    <w:pPr>
      <w:ind w:left="2835"/>
      <w:jc w:val="both"/>
    </w:pPr>
  </w:style>
  <w:style w:type="paragraph" w:customStyle="1" w:styleId="TCU-RelVoto-1">
    <w:name w:val="TCU - Rel/Voto - 1º §"/>
    <w:basedOn w:val="Normal"/>
    <w:qFormat/>
    <w:rsid w:val="006855D7"/>
    <w:pPr>
      <w:spacing w:after="160"/>
      <w:ind w:firstLine="1134"/>
      <w:jc w:val="both"/>
    </w:pPr>
  </w:style>
  <w:style w:type="paragraph" w:customStyle="1" w:styleId="TCU-Ac-item9-">
    <w:name w:val="TCU - Ac - item 9 - §§"/>
    <w:basedOn w:val="TCU-RelVoto-1"/>
    <w:qFormat/>
    <w:rsid w:val="006855D7"/>
    <w:pPr>
      <w:spacing w:after="0"/>
    </w:pPr>
  </w:style>
  <w:style w:type="paragraph" w:customStyle="1" w:styleId="TCU-RelVoto-demais">
    <w:name w:val="TCU - Rel/Voto - demais §§"/>
    <w:basedOn w:val="Normal"/>
    <w:qFormat/>
    <w:rsid w:val="006855D7"/>
    <w:pPr>
      <w:tabs>
        <w:tab w:val="left" w:pos="1134"/>
      </w:tabs>
      <w:spacing w:after="160"/>
      <w:jc w:val="both"/>
    </w:pPr>
  </w:style>
  <w:style w:type="paragraph" w:customStyle="1" w:styleId="TCU-Ac-itens1a8">
    <w:name w:val="TCU -   Ac - itens 1 a 8"/>
    <w:basedOn w:val="TCU-RelVoto-demais"/>
    <w:qFormat/>
    <w:rsid w:val="006855D7"/>
    <w:pPr>
      <w:spacing w:after="0"/>
    </w:pPr>
  </w:style>
  <w:style w:type="paragraph" w:customStyle="1" w:styleId="TCU-Sumrio">
    <w:name w:val="TCU - Sumário"/>
    <w:basedOn w:val="Normal"/>
    <w:qFormat/>
    <w:rsid w:val="006855D7"/>
    <w:pPr>
      <w:ind w:left="5103"/>
      <w:jc w:val="both"/>
    </w:pPr>
    <w:rPr>
      <w:b/>
    </w:rPr>
  </w:style>
  <w:style w:type="paragraph" w:customStyle="1" w:styleId="TCU-Transcrio">
    <w:name w:val="TCU - Transcrição"/>
    <w:basedOn w:val="Normal"/>
    <w:qFormat/>
    <w:rsid w:val="006855D7"/>
    <w:pPr>
      <w:spacing w:after="120"/>
      <w:ind w:left="284" w:firstLine="567"/>
      <w:jc w:val="both"/>
    </w:pPr>
    <w:rPr>
      <w:i/>
    </w:rPr>
  </w:style>
  <w:style w:type="paragraph" w:customStyle="1" w:styleId="TCU-Ac-item9-1Linha">
    <w:name w:val="TCU -  Ac - item 9 - 1ª Linha"/>
    <w:basedOn w:val="TCU-RelVoto-demais"/>
    <w:qFormat/>
    <w:rsid w:val="00457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1553</Words>
  <Characters>8387</Characters>
  <Application>Microsoft Office Word</Application>
  <DocSecurity>0</DocSecurity>
  <Lines>69</Lines>
  <Paragraphs>19</Paragraphs>
  <ScaleCrop>false</ScaleCrop>
  <Company>tcu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Juliana-UFPE</dc:creator>
  <cp:lastModifiedBy>Mayara</cp:lastModifiedBy>
  <cp:revision>2</cp:revision>
  <cp:lastPrinted>2007-09-13T19:01:00Z</cp:lastPrinted>
  <dcterms:created xsi:type="dcterms:W3CDTF">2018-08-15T11:29:00Z</dcterms:created>
  <dcterms:modified xsi:type="dcterms:W3CDTF">2018-08-15T11:29:00Z</dcterms:modified>
</cp:coreProperties>
</file>