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VERIFICAÇÃO (CHECKLIST) - ESTUDO TÉCNICO PRELIMINAR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(Norma IN 01/2019 SGD/ME)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Na utilização da presente lista deverão ser analisadas e verificadas as consequências para cada negativa, se pode ser suprida por justificativas ou enquadramentos específicos ou se deve haver complementação da instrução.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6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5"/>
        <w:gridCol w:w="1655"/>
        <w:gridCol w:w="1655"/>
        <w:tblGridChange w:id="0">
          <w:tblGrid>
            <w:gridCol w:w="1655"/>
            <w:gridCol w:w="1655"/>
            <w:gridCol w:w="1655"/>
          </w:tblGrid>
        </w:tblGridChange>
      </w:tblGrid>
      <w:tr>
        <w:trPr>
          <w:trHeight w:val="367.968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</w:t>
            </w:r>
          </w:p>
        </w:tc>
      </w:tr>
      <w:tr>
        <w:trPr>
          <w:trHeight w:val="82.9687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aplicável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45.0" w:type="dxa"/>
        <w:jc w:val="left"/>
        <w:tblInd w:w="-7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75"/>
        <w:gridCol w:w="1545"/>
        <w:gridCol w:w="615"/>
        <w:gridCol w:w="2910"/>
        <w:tblGridChange w:id="0">
          <w:tblGrid>
            <w:gridCol w:w="5175"/>
            <w:gridCol w:w="1545"/>
            <w:gridCol w:w="615"/>
            <w:gridCol w:w="2910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Estudo Técnico Preliminar (ETP) - Art 11</w:t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Norma Aplicável: IN 01/2019 SGD/ME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Outras referências utilizadas: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Recomendações da CGU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Orientações do Governo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Normativos internos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Referência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 / N / 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Há definição e especificação das necessidades de negócio e tecnológicas?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Inciso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Há definição e especificação dos requisitos necessários e suficientes à escolha da solução de TIC, contendo de forma detalhada, motivada e justificada, inclusive quanto à forma de cálculo, o quantitativo de bens e serviços necessários para a sua composição?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Inciso 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Há definição e especificação do tempo e dos níveis mínimos de serviço de garantia considerados ideais para os ativos de TIC, em termos de razoabilidade de custos e de atendimento ao interesse público?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Obs.: Baseado em estudo próprio ou em referenciais normativos sobre o tema.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Recomendação 811706 CGU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Há demonstração de viabilidade técnica/financeira para o tipo de garantia técnica definida para o produto - inclusive nas adesões a registros de preço e ainda que os processos das instituições originárias já contenham os referidos documentos?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Recomendação 811720 CGU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 aquisição de microinformática, o estudo considerou as recomendações e orientações previstas no documento de Especificação técnica para ativos de Tecnologia da Informação e Comunicação de Microinformática da UFPE?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Normativo interno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 aquisição de outros ativos de TIC, o estudo considerou as recomendações e orientações previstas no documento Boas práticas, orientações e vedações para contratação de ativos de TIC – Versão 4 disponível em https://www.gov.br/governodigital/pt-br/contratacoes/orientacoes_ativos-de-tic-v-4.pdf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https://www.gov.br/governodigital/pt-br/contratacoes/orientacoes_ativos-de-tic-v-4.pdf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Há análise comparativa de soluções, que deve considerar, além do aspecto econômico, os aspectos qualitativos em termos de benefícios para o alcance dos objetivos da contratação, observando:</w:t>
            </w:r>
          </w:p>
          <w:p w:rsidR="00000000" w:rsidDel="00000000" w:rsidP="00000000" w:rsidRDefault="00000000" w:rsidRPr="00000000" w14:paraId="0000003C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a) a disponibilidade de solução similar em outro órgão ou entidade da Administração Pública;</w:t>
            </w:r>
          </w:p>
          <w:p w:rsidR="00000000" w:rsidDel="00000000" w:rsidP="00000000" w:rsidRDefault="00000000" w:rsidRPr="00000000" w14:paraId="0000003D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b) as alternativas do mercado;</w:t>
            </w:r>
          </w:p>
          <w:p w:rsidR="00000000" w:rsidDel="00000000" w:rsidP="00000000" w:rsidRDefault="00000000" w:rsidRPr="00000000" w14:paraId="0000003E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c) a existência de softwares disponíveis conforme descrito na Portaria STI/MP nº 46, de 28 de setembro de 2016;</w:t>
            </w:r>
          </w:p>
          <w:p w:rsidR="00000000" w:rsidDel="00000000" w:rsidP="00000000" w:rsidRDefault="00000000" w:rsidRPr="00000000" w14:paraId="0000003F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d) as políticas, os modelos e os padrões de governo, a exemplo dos Padrões de Interoperabilidade de Governo Eletrônico - ePing, Modelo de Acessibilidade em Governo Eletrônico - eMag, Padrões Web em Governo Eletrônico - ePwg, Infraestrutura de Chaves Públicas Brasileira - ICP-Brasil e Modelo de Requisitos para Sistemas Informatizados de Gestão Arquivística de Documentos - e-ARQ Brasil, quando aplicáveis;</w:t>
            </w:r>
          </w:p>
          <w:p w:rsidR="00000000" w:rsidDel="00000000" w:rsidP="00000000" w:rsidRDefault="00000000" w:rsidRPr="00000000" w14:paraId="00000040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e) as necessidades de adequação do ambiente do órgão ou entidade para viabilizar a execução contratual;</w:t>
            </w:r>
          </w:p>
          <w:p w:rsidR="00000000" w:rsidDel="00000000" w:rsidP="00000000" w:rsidRDefault="00000000" w:rsidRPr="00000000" w14:paraId="00000041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f) os diferentes modelos de prestação do serviço;</w:t>
            </w:r>
          </w:p>
          <w:p w:rsidR="00000000" w:rsidDel="00000000" w:rsidP="00000000" w:rsidRDefault="00000000" w:rsidRPr="00000000" w14:paraId="00000042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g) os diferentes tipos de soluções em termos de especificação, composição ou características dos bens e serviços integrantes;</w:t>
            </w:r>
          </w:p>
          <w:p w:rsidR="00000000" w:rsidDel="00000000" w:rsidP="00000000" w:rsidRDefault="00000000" w:rsidRPr="00000000" w14:paraId="00000043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h) a possibilidade de aquisição na forma de bens ou contratação como serviço; e</w:t>
            </w:r>
          </w:p>
          <w:p w:rsidR="00000000" w:rsidDel="00000000" w:rsidP="00000000" w:rsidRDefault="00000000" w:rsidRPr="00000000" w14:paraId="00000044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i) a ampliação ou substituição da solução implantada?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Inciso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Há análise comparativa de custos que deverá considerar apenas as soluções técnica e funcionalmente viáveis, incluindo:</w:t>
            </w:r>
          </w:p>
          <w:p w:rsidR="00000000" w:rsidDel="00000000" w:rsidP="00000000" w:rsidRDefault="00000000" w:rsidRPr="00000000" w14:paraId="0000004B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a) comparação de custos totais de propriedade (Total Cost Ownership - TCO) por meio da obtenção dos custos inerentes ao ciclo de vida dos bens e serviços de cada solução, a exemplo dos valores de aquisição dos ativos, insumos, garantia, manutenção?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Inciso III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Há análise comparativa de custos que deverá considerar apenas as soluções técnica e funcionalmente viáveis, incluindo:</w:t>
            </w:r>
          </w:p>
          <w:p w:rsidR="00000000" w:rsidDel="00000000" w:rsidP="00000000" w:rsidRDefault="00000000" w:rsidRPr="00000000" w14:paraId="00000052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b) memória de cálculo que referencie os preços e os custos utilizados na análise, com vistas a permitir a verificação da origem dos dados?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Inciso III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1.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Há estimativa do custo total da contratação?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Inciso IV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1.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Há declaração da viabilidade da contratação, contendo a justificativa da solução escolhida, que deverá abranger a identificação dos benefícios a serem alcançados em termos de eficácia, eficiência, efetividade e economicidade?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Inciso 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As soluções consideradas inviáveis estão registradas no Estudo Técnico Preliminar da Contratação (dispensando-se a realização dos respectivos cálculos de custo total de propriedade)?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 §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1º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O Estudo Técnico Preliminar da Contratação está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aprovado e assinado pelos Integrantes Técnico e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Requisitante da Equipe de Planejamento da Contratação e pela autoridade máxima da Área de TIC?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 §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2º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Em caso de participação da autoridade máxima de TIC, consta nos autos assinatura da Autoridade Superior à autoridade máxima da Área de TIC?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Cap. III, Subseção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 Art. 11 §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 Todo o conteúdo do Estudo Técnico Preliminar foi cadastrado no Sistema ETP Digital?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https://www.gov.br/compras/pt-br/acesso-a-informacao/noticias/orientacao-quanto-as-contratacoes-de-tic-com-a-utilizacao-do-etp-digital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0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after="0" w:line="276" w:lineRule="auto"/>
      <w:ind w:right="660"/>
      <w:jc w:val="both"/>
      <w:rPr>
        <w:rFonts w:ascii="Lato" w:cs="Lato" w:eastAsia="Lato" w:hAnsi="Lato"/>
        <w:b w:val="1"/>
        <w:color w:val="434343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-9524</wp:posOffset>
          </wp:positionV>
          <wp:extent cx="1533293" cy="714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293" cy="7143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9135.0" w:type="dxa"/>
      <w:jc w:val="left"/>
      <w:tblInd w:w="4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1710"/>
      <w:gridCol w:w="7425"/>
      <w:tblGridChange w:id="0">
        <w:tblGrid>
          <w:gridCol w:w="1710"/>
          <w:gridCol w:w="7425"/>
        </w:tblGrid>
      </w:tblGridChange>
    </w:tblGrid>
    <w:tr>
      <w:trPr>
        <w:trHeight w:val="645" w:hRule="atLeast"/>
      </w:trPr>
      <w:tc>
        <w:tcPr>
          <w:vMerge w:val="restart"/>
          <w:tcBorders>
            <w:right w:color="000000" w:space="0" w:sz="0" w:val="nil"/>
          </w:tcBorders>
          <w:tcMar>
            <w:top w:w="40.0" w:type="dxa"/>
            <w:left w:w="40.0" w:type="dxa"/>
            <w:bottom w:w="40.0" w:type="dxa"/>
            <w:right w:w="40.0" w:type="dxa"/>
          </w:tcMar>
          <w:vAlign w:val="top"/>
        </w:tcPr>
        <w:p w:rsidR="00000000" w:rsidDel="00000000" w:rsidP="00000000" w:rsidRDefault="00000000" w:rsidRPr="00000000" w14:paraId="00000083">
          <w:pPr>
            <w:spacing w:after="0" w:line="276" w:lineRule="auto"/>
            <w:ind w:right="66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</w:tcBorders>
          <w:tcMar>
            <w:top w:w="40.0" w:type="dxa"/>
            <w:left w:w="40.0" w:type="dxa"/>
            <w:bottom w:w="40.0" w:type="dxa"/>
            <w:right w:w="40.0" w:type="dxa"/>
          </w:tcMar>
          <w:vAlign w:val="bottom"/>
        </w:tcPr>
        <w:p w:rsidR="00000000" w:rsidDel="00000000" w:rsidP="00000000" w:rsidRDefault="00000000" w:rsidRPr="00000000" w14:paraId="00000084">
          <w:pPr>
            <w:widowControl w:val="0"/>
            <w:spacing w:after="0" w:line="276" w:lineRule="auto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18"/>
              <w:szCs w:val="18"/>
              <w:rtl w:val="0"/>
            </w:rPr>
            <w:t xml:space="preserve">           LISTA DE VERIFICAÇÃO (ESTUDO TÉCNICO PRELIMINAR)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15" w:hRule="atLeast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5">
          <w:pPr>
            <w:widowControl w:val="0"/>
            <w:spacing w:after="0" w:line="276" w:lineRule="auto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shd w:fill="auto" w:val="clear"/>
          <w:tcMar>
            <w:top w:w="40.0" w:type="dxa"/>
            <w:left w:w="40.0" w:type="dxa"/>
            <w:bottom w:w="40.0" w:type="dxa"/>
            <w:right w:w="40.0" w:type="dxa"/>
          </w:tcMar>
          <w:vAlign w:val="top"/>
        </w:tcPr>
        <w:p w:rsidR="00000000" w:rsidDel="00000000" w:rsidP="00000000" w:rsidRDefault="00000000" w:rsidRPr="00000000" w14:paraId="00000086">
          <w:pPr>
            <w:spacing w:after="0" w:line="216" w:lineRule="auto"/>
            <w:ind w:right="66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1"/>
      <w:keepLines w:val="1"/>
      <w:spacing w:after="0" w:line="276" w:lineRule="auto"/>
      <w:ind w:left="3118.1102362204724" w:right="-1116.2598425196836" w:firstLine="0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UNIVERSIDADE FEDERAL DE PERNAMBUCO</w:t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-514349</wp:posOffset>
          </wp:positionH>
          <wp:positionV relativeFrom="paragraph">
            <wp:posOffset>-304799</wp:posOffset>
          </wp:positionV>
          <wp:extent cx="2325053" cy="108441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5053" cy="1084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keepNext w:val="1"/>
      <w:keepLines w:val="1"/>
      <w:tabs>
        <w:tab w:val="left" w:pos="0"/>
      </w:tabs>
      <w:spacing w:after="0" w:line="276" w:lineRule="auto"/>
      <w:ind w:left="3118.1102362204724" w:right="-1116.2598425196836" w:firstLine="0"/>
      <w:rPr>
        <w:rFonts w:ascii="Arial" w:cs="Arial" w:eastAsia="Arial" w:hAnsi="Arial"/>
      </w:rPr>
    </w:pPr>
    <w:bookmarkStart w:colFirst="0" w:colLast="0" w:name="_30j0zll" w:id="0"/>
    <w:bookmarkEnd w:id="0"/>
    <w:r w:rsidDel="00000000" w:rsidR="00000000" w:rsidRPr="00000000">
      <w:rPr>
        <w:rFonts w:ascii="Arial" w:cs="Arial" w:eastAsia="Arial" w:hAnsi="Arial"/>
        <w:rtl w:val="0"/>
      </w:rPr>
      <w:t xml:space="preserve">SUPERINTENDÊNCIA DE TECNOLOGIA DA INFORMAÇÃO</w:t>
    </w:r>
  </w:p>
  <w:p w:rsidR="00000000" w:rsidDel="00000000" w:rsidP="00000000" w:rsidRDefault="00000000" w:rsidRPr="00000000" w14:paraId="0000008A">
    <w:pPr>
      <w:widowControl w:val="0"/>
      <w:tabs>
        <w:tab w:val="center" w:pos="4819"/>
        <w:tab w:val="right" w:pos="9638"/>
        <w:tab w:val="center" w:pos="2125"/>
        <w:tab w:val="right" w:pos="6944"/>
      </w:tabs>
      <w:spacing w:after="0" w:line="276" w:lineRule="auto"/>
      <w:ind w:left="3118.1102362204724" w:right="-1116.2598425196836" w:firstLine="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PRÓ-REITORIA DE GESTÃO ADMINISTRATIVA</w:t>
    </w:r>
  </w:p>
  <w:p w:rsidR="00000000" w:rsidDel="00000000" w:rsidP="00000000" w:rsidRDefault="00000000" w:rsidRPr="00000000" w14:paraId="0000008B">
    <w:pPr>
      <w:widowControl w:val="0"/>
      <w:tabs>
        <w:tab w:val="center" w:pos="4819"/>
        <w:tab w:val="right" w:pos="9638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