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center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LISTA DE VERIFICAÇÃO (CHECKLIST) - ESTUDO TÉCNICO PRELIMINAR </w:t>
      </w:r>
    </w:p>
    <w:p w:rsidR="00000000" w:rsidDel="00000000" w:rsidP="00000000" w:rsidRDefault="00000000" w:rsidRPr="00000000" w14:paraId="00000002">
      <w:pPr>
        <w:jc w:val="center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(Norma IN 01/2019 SGD/ME)</w:t>
      </w:r>
    </w:p>
    <w:p w:rsidR="00000000" w:rsidDel="00000000" w:rsidP="00000000" w:rsidRDefault="00000000" w:rsidRPr="00000000" w14:paraId="00000003">
      <w:pPr>
        <w:spacing w:after="0" w:line="240" w:lineRule="auto"/>
        <w:jc w:val="both"/>
        <w:rPr>
          <w:color w:val="ff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0" w:line="240" w:lineRule="auto"/>
        <w:jc w:val="both"/>
        <w:rPr>
          <w:color w:val="ff0000"/>
          <w:sz w:val="24"/>
          <w:szCs w:val="24"/>
        </w:rPr>
      </w:pPr>
      <w:r w:rsidDel="00000000" w:rsidR="00000000" w:rsidRPr="00000000">
        <w:rPr>
          <w:b w:val="1"/>
          <w:color w:val="ff0000"/>
          <w:sz w:val="24"/>
          <w:szCs w:val="24"/>
          <w:rtl w:val="0"/>
        </w:rPr>
        <w:t xml:space="preserve">ATENÇÃO:</w:t>
      </w:r>
      <w:r w:rsidDel="00000000" w:rsidR="00000000" w:rsidRPr="00000000">
        <w:rPr>
          <w:color w:val="ff0000"/>
          <w:sz w:val="24"/>
          <w:szCs w:val="24"/>
          <w:rtl w:val="0"/>
        </w:rPr>
        <w:t xml:space="preserve"> Na utilização da presente lista deverão ser analisadas e verificadas as consequências para cada negativa, se pode ser suprida por justificativas ou enquadramentos específicos ou se deve haver complementação da instrução.</w:t>
      </w:r>
    </w:p>
    <w:p w:rsidR="00000000" w:rsidDel="00000000" w:rsidP="00000000" w:rsidRDefault="00000000" w:rsidRPr="00000000" w14:paraId="00000005">
      <w:pPr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4965.0" w:type="dxa"/>
        <w:jc w:val="center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1655"/>
        <w:gridCol w:w="1655"/>
        <w:gridCol w:w="1655"/>
        <w:tblGridChange w:id="0">
          <w:tblGrid>
            <w:gridCol w:w="1655"/>
            <w:gridCol w:w="1655"/>
            <w:gridCol w:w="1655"/>
          </w:tblGrid>
        </w:tblGridChange>
      </w:tblGrid>
      <w:tr>
        <w:trPr>
          <w:trHeight w:val="367.96875" w:hRule="atLeast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0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S</w:t>
            </w:r>
          </w:p>
        </w:tc>
        <w:tc>
          <w:tcPr>
            <w:tcBorders>
              <w:top w:color="000000" w:space="0" w:sz="6" w:val="single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N</w:t>
            </w:r>
          </w:p>
        </w:tc>
        <w:tc>
          <w:tcPr>
            <w:tcBorders>
              <w:top w:color="000000" w:space="0" w:sz="6" w:val="single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0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NA</w:t>
            </w:r>
          </w:p>
        </w:tc>
      </w:tr>
      <w:tr>
        <w:trPr>
          <w:trHeight w:val="82.96875" w:hRule="atLeast"/>
        </w:trPr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0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Sim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0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Não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0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Não aplicável</w:t>
            </w:r>
          </w:p>
        </w:tc>
      </w:tr>
    </w:tbl>
    <w:p w:rsidR="00000000" w:rsidDel="00000000" w:rsidP="00000000" w:rsidRDefault="00000000" w:rsidRPr="00000000" w14:paraId="0000000C">
      <w:pPr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10245.0" w:type="dxa"/>
        <w:jc w:val="left"/>
        <w:tblInd w:w="-785.0" w:type="dxa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5175"/>
        <w:gridCol w:w="1545"/>
        <w:gridCol w:w="615"/>
        <w:gridCol w:w="2910"/>
        <w:tblGridChange w:id="0">
          <w:tblGrid>
            <w:gridCol w:w="5175"/>
            <w:gridCol w:w="1545"/>
            <w:gridCol w:w="615"/>
            <w:gridCol w:w="2910"/>
          </w:tblGrid>
        </w:tblGridChange>
      </w:tblGrid>
      <w:tr>
        <w:tc>
          <w:tcPr>
            <w:gridSpan w:val="4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spacing w:after="0" w:line="240" w:lineRule="auto"/>
              <w:jc w:val="center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Estudo Técnico Preliminar (ETP) - Art 11</w:t>
            </w:r>
          </w:p>
        </w:tc>
      </w:tr>
      <w:tr>
        <w:tc>
          <w:tcPr>
            <w:gridSpan w:val="4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1">
            <w:pPr>
              <w:spacing w:after="0" w:line="240" w:lineRule="auto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Norma Aplicável: IN 01/2019 SGD/ME</w:t>
            </w:r>
          </w:p>
          <w:p w:rsidR="00000000" w:rsidDel="00000000" w:rsidP="00000000" w:rsidRDefault="00000000" w:rsidRPr="00000000" w14:paraId="00000012">
            <w:pPr>
              <w:spacing w:after="0" w:line="240" w:lineRule="auto"/>
              <w:ind w:left="0" w:firstLine="0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Outras referências utilizadas:</w:t>
            </w:r>
          </w:p>
          <w:p w:rsidR="00000000" w:rsidDel="00000000" w:rsidP="00000000" w:rsidRDefault="00000000" w:rsidRPr="00000000" w14:paraId="00000013">
            <w:pPr>
              <w:numPr>
                <w:ilvl w:val="0"/>
                <w:numId w:val="1"/>
              </w:numPr>
              <w:spacing w:after="0" w:line="240" w:lineRule="auto"/>
              <w:ind w:left="720" w:hanging="360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Recomendações da CGU</w:t>
            </w:r>
          </w:p>
          <w:p w:rsidR="00000000" w:rsidDel="00000000" w:rsidP="00000000" w:rsidRDefault="00000000" w:rsidRPr="00000000" w14:paraId="00000014">
            <w:pPr>
              <w:numPr>
                <w:ilvl w:val="0"/>
                <w:numId w:val="1"/>
              </w:numPr>
              <w:spacing w:after="0" w:line="240" w:lineRule="auto"/>
              <w:ind w:left="720" w:hanging="360"/>
              <w:rPr>
                <w:b w:val="1"/>
                <w:sz w:val="26"/>
                <w:szCs w:val="26"/>
                <w:u w:val="none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Orientações do Governo</w:t>
            </w:r>
          </w:p>
          <w:p w:rsidR="00000000" w:rsidDel="00000000" w:rsidP="00000000" w:rsidRDefault="00000000" w:rsidRPr="00000000" w14:paraId="00000015">
            <w:pPr>
              <w:numPr>
                <w:ilvl w:val="0"/>
                <w:numId w:val="1"/>
              </w:numPr>
              <w:spacing w:after="0" w:line="240" w:lineRule="auto"/>
              <w:ind w:left="720" w:hanging="360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Normativos internos</w:t>
            </w:r>
          </w:p>
        </w:tc>
      </w:tr>
      <w:t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9">
            <w:pPr>
              <w:spacing w:after="0" w:before="0" w:line="240" w:lineRule="auto"/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Item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A">
            <w:pPr>
              <w:spacing w:after="0" w:before="0" w:line="240" w:lineRule="auto"/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Referência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B">
            <w:pPr>
              <w:spacing w:after="0" w:before="0" w:line="240" w:lineRule="auto"/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S / N / NA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C">
            <w:pPr>
              <w:spacing w:after="0" w:before="0" w:line="240" w:lineRule="auto"/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Justificativa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1145" w:hRule="atLeast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D">
            <w:pPr>
              <w:spacing w:after="0" w:line="240" w:lineRule="auto"/>
              <w:rPr>
                <w:color w:val="ff0000"/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1. 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Há definição e especificação das necessidades de negócio e tecnológicas?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E">
            <w:pPr>
              <w:spacing w:after="0"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Cap. III, Subseção</w:t>
            </w:r>
          </w:p>
          <w:p w:rsidR="00000000" w:rsidDel="00000000" w:rsidP="00000000" w:rsidRDefault="00000000" w:rsidRPr="00000000" w14:paraId="0000001F">
            <w:pPr>
              <w:spacing w:after="0"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II Art. 11</w:t>
            </w:r>
          </w:p>
          <w:p w:rsidR="00000000" w:rsidDel="00000000" w:rsidP="00000000" w:rsidRDefault="00000000" w:rsidRPr="00000000" w14:paraId="00000020">
            <w:pPr>
              <w:spacing w:after="0"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Inciso I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1">
            <w:pPr>
              <w:spacing w:after="0"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2">
            <w:pPr>
              <w:spacing w:after="0"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 </w:t>
            </w:r>
          </w:p>
        </w:tc>
      </w:tr>
      <w:tr>
        <w:trPr>
          <w:trHeight w:val="1145" w:hRule="atLeast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3">
            <w:pPr>
              <w:spacing w:after="0"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2. Há definição e especificação dos requisitos necessários e suficientes à escolha da solução de TIC, contendo de forma detalhada, motivada e justificada, inclusive quanto à forma de cálculo, o quantitativo de bens e serviços necessários para a sua composição?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4">
            <w:pPr>
              <w:spacing w:after="0"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Cap. III, Subseção</w:t>
            </w:r>
          </w:p>
          <w:p w:rsidR="00000000" w:rsidDel="00000000" w:rsidP="00000000" w:rsidRDefault="00000000" w:rsidRPr="00000000" w14:paraId="00000025">
            <w:pPr>
              <w:spacing w:after="0"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II Art. 11</w:t>
            </w:r>
          </w:p>
          <w:p w:rsidR="00000000" w:rsidDel="00000000" w:rsidP="00000000" w:rsidRDefault="00000000" w:rsidRPr="00000000" w14:paraId="00000026">
            <w:pPr>
              <w:spacing w:after="0"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Inciso I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7">
            <w:pPr>
              <w:spacing w:after="0"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8">
            <w:pPr>
              <w:spacing w:after="0"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1145" w:hRule="atLeast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9">
            <w:pPr>
              <w:spacing w:after="0"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3. Há definição e especificação do tempo e dos níveis mínimos de serviço de garantia considerados ideais para os ativos de TIC, em termos de razoabilidade de custos e de atendimento ao interesse público? </w:t>
            </w:r>
          </w:p>
          <w:p w:rsidR="00000000" w:rsidDel="00000000" w:rsidP="00000000" w:rsidRDefault="00000000" w:rsidRPr="00000000" w14:paraId="0000002A">
            <w:pPr>
              <w:spacing w:after="0"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B">
            <w:pPr>
              <w:spacing w:after="0"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Obs.: Baseado em estudo próprio ou em referenciais normativos sobre o tema. 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C">
            <w:pPr>
              <w:spacing w:after="0"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Recomendação 811706 CGU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D">
            <w:pPr>
              <w:spacing w:after="0"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E">
            <w:pPr>
              <w:spacing w:after="0"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1145" w:hRule="atLeast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F">
            <w:pPr>
              <w:spacing w:after="0"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Há demonstração de viabilidade técnica/financeira para o tipo de garantia técnica definida para o produto - inclusive nas adesões a registros de preço e ainda que os processos das instituições originárias já contenham os referidos documentos?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0">
            <w:pPr>
              <w:spacing w:after="0"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Recomendação 811720 CGU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1">
            <w:pPr>
              <w:spacing w:after="0"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2">
            <w:pPr>
              <w:spacing w:after="0"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1145" w:hRule="atLeast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3">
            <w:pPr>
              <w:spacing w:after="0"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Para aquisição de microinformática, o estudo considerou as recomendações e orientações previstas no documento de Especificação técnica para ativos de Tecnologia da Informação e Comunicação de Microinformática da UFPE?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4">
            <w:pPr>
              <w:spacing w:after="0"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Normativo interno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5">
            <w:pPr>
              <w:spacing w:after="0"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6">
            <w:pPr>
              <w:spacing w:after="0"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1145" w:hRule="atLeast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7">
            <w:pPr>
              <w:spacing w:after="0"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Para aquisição de outros ativos de TIC, o estudo considerou as recomendações e orientações previstas no documento Boas práticas, orientações e vedações para contratação de ativos de TIC – Versão 4 disponível em https://www.gov.br/governodigital/pt-br/contratacoes/orientacoes_ativos-de-tic-v-4.pdf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8">
            <w:pPr>
              <w:spacing w:after="0"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https://www.gov.br/governodigital/pt-br/contratacoes/orientacoes_ativos-de-tic-v-4.pdf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9">
            <w:pPr>
              <w:spacing w:after="0"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A">
            <w:pPr>
              <w:spacing w:after="0"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540" w:hRule="atLeast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B">
            <w:pPr>
              <w:spacing w:after="0"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3. Há análise comparativa de soluções, que deve considerar, além do aspecto econômico, os aspectos qualitativos em termos de benefícios para o alcance dos objetivos da contratação, observando:</w:t>
            </w:r>
          </w:p>
          <w:p w:rsidR="00000000" w:rsidDel="00000000" w:rsidP="00000000" w:rsidRDefault="00000000" w:rsidRPr="00000000" w14:paraId="0000003C">
            <w:pPr>
              <w:spacing w:after="200"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a) a disponibilidade de solução similar em outro órgão ou entidade da Administração Pública;</w:t>
            </w:r>
          </w:p>
          <w:p w:rsidR="00000000" w:rsidDel="00000000" w:rsidP="00000000" w:rsidRDefault="00000000" w:rsidRPr="00000000" w14:paraId="0000003D">
            <w:pPr>
              <w:spacing w:after="200"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b) as alternativas do mercado;</w:t>
            </w:r>
          </w:p>
          <w:p w:rsidR="00000000" w:rsidDel="00000000" w:rsidP="00000000" w:rsidRDefault="00000000" w:rsidRPr="00000000" w14:paraId="0000003E">
            <w:pPr>
              <w:spacing w:after="200"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c) a existência de softwares disponíveis conforme descrito na Portaria STI/MP nº 46, de 28 de setembro de 2016;</w:t>
            </w:r>
          </w:p>
          <w:p w:rsidR="00000000" w:rsidDel="00000000" w:rsidP="00000000" w:rsidRDefault="00000000" w:rsidRPr="00000000" w14:paraId="0000003F">
            <w:pPr>
              <w:spacing w:after="200"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d) as políticas, os modelos e os padrões de governo, a exemplo dos Padrões de Interoperabilidade de Governo Eletrônico - ePing, Modelo de Acessibilidade em Governo Eletrônico - eMag, Padrões Web em Governo Eletrônico - ePwg, Infraestrutura de Chaves Públicas Brasileira - ICP-Brasil e Modelo de Requisitos para Sistemas Informatizados de Gestão Arquivística de Documentos - e-ARQ Brasil, quando aplicáveis;</w:t>
            </w:r>
          </w:p>
          <w:p w:rsidR="00000000" w:rsidDel="00000000" w:rsidP="00000000" w:rsidRDefault="00000000" w:rsidRPr="00000000" w14:paraId="00000040">
            <w:pPr>
              <w:spacing w:after="200"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e) as necessidades de adequação do ambiente do órgão ou entidade para viabilizar a execução contratual;</w:t>
            </w:r>
          </w:p>
          <w:p w:rsidR="00000000" w:rsidDel="00000000" w:rsidP="00000000" w:rsidRDefault="00000000" w:rsidRPr="00000000" w14:paraId="00000041">
            <w:pPr>
              <w:spacing w:after="200"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f) os diferentes modelos de prestação do serviço;</w:t>
            </w:r>
          </w:p>
          <w:p w:rsidR="00000000" w:rsidDel="00000000" w:rsidP="00000000" w:rsidRDefault="00000000" w:rsidRPr="00000000" w14:paraId="00000042">
            <w:pPr>
              <w:spacing w:after="200"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g) os diferentes tipos de soluções em termos de especificação, composição ou características dos bens e serviços integrantes;</w:t>
            </w:r>
          </w:p>
          <w:p w:rsidR="00000000" w:rsidDel="00000000" w:rsidP="00000000" w:rsidRDefault="00000000" w:rsidRPr="00000000" w14:paraId="00000043">
            <w:pPr>
              <w:spacing w:after="200"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h) a possibilidade de aquisição na forma de bens ou contratação como serviço; e</w:t>
            </w:r>
          </w:p>
          <w:p w:rsidR="00000000" w:rsidDel="00000000" w:rsidP="00000000" w:rsidRDefault="00000000" w:rsidRPr="00000000" w14:paraId="00000044">
            <w:pPr>
              <w:spacing w:after="200"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i) a ampliação ou substituição da solução implantada?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5">
            <w:pPr>
              <w:spacing w:after="0"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Cap. III, Subseção</w:t>
            </w:r>
          </w:p>
          <w:p w:rsidR="00000000" w:rsidDel="00000000" w:rsidP="00000000" w:rsidRDefault="00000000" w:rsidRPr="00000000" w14:paraId="00000046">
            <w:pPr>
              <w:spacing w:after="0"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II Art. 11</w:t>
            </w:r>
          </w:p>
          <w:p w:rsidR="00000000" w:rsidDel="00000000" w:rsidP="00000000" w:rsidRDefault="00000000" w:rsidRPr="00000000" w14:paraId="00000047">
            <w:pPr>
              <w:spacing w:after="0"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Inciso II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8">
            <w:pPr>
              <w:spacing w:after="0"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9">
            <w:pPr>
              <w:spacing w:after="0"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 </w:t>
            </w:r>
          </w:p>
        </w:tc>
      </w:tr>
      <w:tr>
        <w:trPr>
          <w:trHeight w:val="390" w:hRule="atLeast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A">
            <w:pPr>
              <w:spacing w:after="0"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4. Há análise comparativa de custos que deverá considerar apenas as soluções técnica e funcionalmente viáveis, incluindo:</w:t>
            </w:r>
          </w:p>
          <w:p w:rsidR="00000000" w:rsidDel="00000000" w:rsidP="00000000" w:rsidRDefault="00000000" w:rsidRPr="00000000" w14:paraId="0000004B">
            <w:pPr>
              <w:spacing w:after="200"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a) comparação de custos totais de propriedade (Total Cost Ownership - TCO) por meio da obtenção dos custos inerentes ao ciclo de vida dos bens e serviços de cada solução, a exemplo dos valores de aquisição dos ativos, insumos, garantia, manutenção?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C">
            <w:pPr>
              <w:spacing w:after="0"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Cap. III, Subseção</w:t>
            </w:r>
          </w:p>
          <w:p w:rsidR="00000000" w:rsidDel="00000000" w:rsidP="00000000" w:rsidRDefault="00000000" w:rsidRPr="00000000" w14:paraId="0000004D">
            <w:pPr>
              <w:spacing w:after="0"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II Art. 11</w:t>
            </w:r>
          </w:p>
          <w:p w:rsidR="00000000" w:rsidDel="00000000" w:rsidP="00000000" w:rsidRDefault="00000000" w:rsidRPr="00000000" w14:paraId="0000004E">
            <w:pPr>
              <w:spacing w:after="0"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Inciso III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F">
            <w:pPr>
              <w:spacing w:after="0"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0">
            <w:pPr>
              <w:spacing w:after="0"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90" w:hRule="atLeast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1">
            <w:pPr>
              <w:spacing w:after="0"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5. Há análise comparativa de custos que deverá considerar apenas as soluções técnica e funcionalmente viáveis, incluindo:</w:t>
            </w:r>
          </w:p>
          <w:p w:rsidR="00000000" w:rsidDel="00000000" w:rsidP="00000000" w:rsidRDefault="00000000" w:rsidRPr="00000000" w14:paraId="00000052">
            <w:pPr>
              <w:spacing w:after="200"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b) memória de cálculo que referencie os preços e os custos utilizados na análise, com vistas a permitir a verificação da origem dos dados?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3">
            <w:pPr>
              <w:spacing w:after="0"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Cap. III, Subseção</w:t>
            </w:r>
          </w:p>
          <w:p w:rsidR="00000000" w:rsidDel="00000000" w:rsidP="00000000" w:rsidRDefault="00000000" w:rsidRPr="00000000" w14:paraId="00000054">
            <w:pPr>
              <w:spacing w:after="0"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II Art. 11</w:t>
            </w:r>
          </w:p>
          <w:p w:rsidR="00000000" w:rsidDel="00000000" w:rsidP="00000000" w:rsidRDefault="00000000" w:rsidRPr="00000000" w14:paraId="00000055">
            <w:pPr>
              <w:spacing w:after="0"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Inciso III</w:t>
            </w:r>
          </w:p>
          <w:p w:rsidR="00000000" w:rsidDel="00000000" w:rsidP="00000000" w:rsidRDefault="00000000" w:rsidRPr="00000000" w14:paraId="00000056">
            <w:pPr>
              <w:spacing w:after="0"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7">
            <w:pPr>
              <w:spacing w:after="0"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8">
            <w:pPr>
              <w:spacing w:after="0"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1141.875" w:hRule="atLeast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9">
            <w:pPr>
              <w:spacing w:after="0"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6. Há estimativa do custo total da contratação?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A">
            <w:pPr>
              <w:spacing w:after="0"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Cap. III, Subseção</w:t>
            </w:r>
          </w:p>
          <w:p w:rsidR="00000000" w:rsidDel="00000000" w:rsidP="00000000" w:rsidRDefault="00000000" w:rsidRPr="00000000" w14:paraId="0000005B">
            <w:pPr>
              <w:spacing w:after="0"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II Art. 11</w:t>
            </w:r>
          </w:p>
          <w:p w:rsidR="00000000" w:rsidDel="00000000" w:rsidP="00000000" w:rsidRDefault="00000000" w:rsidRPr="00000000" w14:paraId="0000005C">
            <w:pPr>
              <w:spacing w:after="0"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Inciso IV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D">
            <w:pPr>
              <w:spacing w:after="0"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E">
            <w:pPr>
              <w:spacing w:after="0"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1141.875" w:hRule="atLeast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F">
            <w:pPr>
              <w:spacing w:after="0"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7. Há declaração da viabilidade da contratação, contendo a justificativa da solução escolhida, que deverá abranger a identificação dos benefícios a serem alcançados em termos de eficácia, eficiência, efetividade e economicidade?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0">
            <w:pPr>
              <w:spacing w:after="0"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Cap. III, Subseção</w:t>
            </w:r>
          </w:p>
          <w:p w:rsidR="00000000" w:rsidDel="00000000" w:rsidP="00000000" w:rsidRDefault="00000000" w:rsidRPr="00000000" w14:paraId="00000061">
            <w:pPr>
              <w:spacing w:after="0"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II Art. 11</w:t>
            </w:r>
          </w:p>
          <w:p w:rsidR="00000000" w:rsidDel="00000000" w:rsidP="00000000" w:rsidRDefault="00000000" w:rsidRPr="00000000" w14:paraId="00000062">
            <w:pPr>
              <w:spacing w:after="0"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Inciso V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3">
            <w:pPr>
              <w:spacing w:after="0"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4">
            <w:pPr>
              <w:spacing w:after="0"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845" w:hRule="atLeast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5">
            <w:pPr>
              <w:spacing w:after="0"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8. As soluções consideradas inviáveis estão registradas no Estudo Técnico Preliminar da Contratação (dispensando-se a realização dos respectivos cálculos de custo total de propriedade)?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6">
            <w:pPr>
              <w:spacing w:after="0"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Cap. III, Subseção</w:t>
            </w:r>
          </w:p>
          <w:p w:rsidR="00000000" w:rsidDel="00000000" w:rsidP="00000000" w:rsidRDefault="00000000" w:rsidRPr="00000000" w14:paraId="00000067">
            <w:pPr>
              <w:spacing w:after="0"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II Art. 11 §</w:t>
            </w:r>
          </w:p>
          <w:p w:rsidR="00000000" w:rsidDel="00000000" w:rsidP="00000000" w:rsidRDefault="00000000" w:rsidRPr="00000000" w14:paraId="00000068">
            <w:pPr>
              <w:spacing w:after="0"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1º</w:t>
            </w:r>
          </w:p>
          <w:p w:rsidR="00000000" w:rsidDel="00000000" w:rsidP="00000000" w:rsidRDefault="00000000" w:rsidRPr="00000000" w14:paraId="00000069">
            <w:pPr>
              <w:spacing w:after="0"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A">
            <w:pPr>
              <w:spacing w:after="0"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B">
            <w:pPr>
              <w:spacing w:after="0"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210" w:hRule="atLeast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C">
            <w:pPr>
              <w:spacing w:after="0"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9. O Estudo Técnico Preliminar da Contratação está</w:t>
            </w:r>
          </w:p>
          <w:p w:rsidR="00000000" w:rsidDel="00000000" w:rsidP="00000000" w:rsidRDefault="00000000" w:rsidRPr="00000000" w14:paraId="0000006D">
            <w:pPr>
              <w:spacing w:after="0"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aprovado e assinado pelos Integrantes Técnico e</w:t>
            </w:r>
          </w:p>
          <w:p w:rsidR="00000000" w:rsidDel="00000000" w:rsidP="00000000" w:rsidRDefault="00000000" w:rsidRPr="00000000" w14:paraId="0000006E">
            <w:pPr>
              <w:spacing w:after="0"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Requisitante da Equipe de Planejamento da Contratação e pela autoridade máxima da Área de TIC?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F">
            <w:pPr>
              <w:spacing w:after="0"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Cap. III, Subseção</w:t>
            </w:r>
          </w:p>
          <w:p w:rsidR="00000000" w:rsidDel="00000000" w:rsidP="00000000" w:rsidRDefault="00000000" w:rsidRPr="00000000" w14:paraId="00000070">
            <w:pPr>
              <w:spacing w:after="0"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II Art. 11 §</w:t>
            </w:r>
          </w:p>
          <w:p w:rsidR="00000000" w:rsidDel="00000000" w:rsidP="00000000" w:rsidRDefault="00000000" w:rsidRPr="00000000" w14:paraId="00000071">
            <w:pPr>
              <w:spacing w:after="0"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2º</w:t>
            </w:r>
          </w:p>
          <w:p w:rsidR="00000000" w:rsidDel="00000000" w:rsidP="00000000" w:rsidRDefault="00000000" w:rsidRPr="00000000" w14:paraId="00000072">
            <w:pPr>
              <w:spacing w:after="0"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3">
            <w:pPr>
              <w:spacing w:after="0"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4">
            <w:pPr>
              <w:spacing w:after="0"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1130" w:hRule="atLeast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5">
            <w:pPr>
              <w:spacing w:after="0"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10. Em caso de participação da autoridade máxima de TIC, consta nos autos assinatura da Autoridade Superior à autoridade máxima da Área de TIC?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6">
            <w:pPr>
              <w:spacing w:after="0"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Cap. III, Subseção</w:t>
            </w:r>
          </w:p>
          <w:p w:rsidR="00000000" w:rsidDel="00000000" w:rsidP="00000000" w:rsidRDefault="00000000" w:rsidRPr="00000000" w14:paraId="00000077">
            <w:pPr>
              <w:spacing w:after="0"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II Art. 11 §</w:t>
            </w:r>
          </w:p>
          <w:p w:rsidR="00000000" w:rsidDel="00000000" w:rsidP="00000000" w:rsidRDefault="00000000" w:rsidRPr="00000000" w14:paraId="00000078">
            <w:pPr>
              <w:spacing w:after="0"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3º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9">
            <w:pPr>
              <w:spacing w:after="0"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A">
            <w:pPr>
              <w:spacing w:after="0"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1130" w:hRule="atLeast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B">
            <w:pPr>
              <w:spacing w:after="0"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11. Todo o conteúdo do Estudo Técnico Preliminar foi cadastrado no Sistema ETP Digital?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C">
            <w:pPr>
              <w:spacing w:after="0"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https://www.gov.br/compras/pt-br/acesso-a-informacao/noticias/orientacao-quanto-as-contratacoes-de-tic-com-a-utilizacao-do-etp-digital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D">
            <w:pPr>
              <w:spacing w:after="0"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E">
            <w:pPr>
              <w:spacing w:after="0"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7F">
      <w:pPr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sectPr>
      <w:headerReference r:id="rId6" w:type="default"/>
      <w:headerReference r:id="rId7" w:type="first"/>
      <w:footerReference r:id="rId8" w:type="default"/>
      <w:footerReference r:id="rId9" w:type="first"/>
      <w:pgSz w:h="16838" w:w="11906" w:orient="portrait"/>
      <w:pgMar w:bottom="1417" w:top="1417" w:left="1701" w:right="1701" w:header="708" w:footer="708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Arial"/>
  <w:font w:name="Lato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80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252"/>
        <w:tab w:val="right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81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252"/>
        <w:tab w:val="right" w:pos="8504"/>
        <w:tab w:val="left" w:pos="1005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8D">
    <w:pPr>
      <w:rPr/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82">
    <w:pPr>
      <w:spacing w:after="0" w:line="276" w:lineRule="auto"/>
      <w:ind w:right="660"/>
      <w:jc w:val="both"/>
      <w:rPr>
        <w:rFonts w:ascii="Lato" w:cs="Lato" w:eastAsia="Lato" w:hAnsi="Lato"/>
        <w:b w:val="1"/>
        <w:color w:val="434343"/>
        <w:sz w:val="8"/>
        <w:szCs w:val="8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127000" distT="0" distL="0" distR="0" hidden="0" layoutInCell="1" locked="0" relativeHeight="0" simplePos="0">
          <wp:simplePos x="0" y="0"/>
          <wp:positionH relativeFrom="column">
            <wp:posOffset>-133349</wp:posOffset>
          </wp:positionH>
          <wp:positionV relativeFrom="paragraph">
            <wp:posOffset>-9524</wp:posOffset>
          </wp:positionV>
          <wp:extent cx="1533293" cy="714375"/>
          <wp:effectExtent b="0" l="0" r="0" t="0"/>
          <wp:wrapNone/>
          <wp:docPr id="2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533293" cy="714375"/>
                  </a:xfrm>
                  <a:prstGeom prst="rect"/>
                  <a:ln/>
                </pic:spPr>
              </pic:pic>
            </a:graphicData>
          </a:graphic>
        </wp:anchor>
      </w:drawing>
    </w:r>
  </w:p>
  <w:tbl>
    <w:tblPr>
      <w:tblStyle w:val="Table3"/>
      <w:tblW w:w="9135.0" w:type="dxa"/>
      <w:jc w:val="left"/>
      <w:tblInd w:w="40.0" w:type="pct"/>
      <w:tblBorders>
        <w:top w:color="000000" w:space="0" w:sz="0" w:val="nil"/>
        <w:left w:color="000000" w:space="0" w:sz="0" w:val="nil"/>
        <w:bottom w:color="000000" w:space="0" w:sz="0" w:val="nil"/>
        <w:right w:color="000000" w:space="0" w:sz="0" w:val="nil"/>
        <w:insideH w:color="000000" w:space="0" w:sz="0" w:val="nil"/>
        <w:insideV w:color="000000" w:space="0" w:sz="0" w:val="nil"/>
      </w:tblBorders>
      <w:tblLayout w:type="fixed"/>
      <w:tblLook w:val="0600"/>
    </w:tblPr>
    <w:tblGrid>
      <w:gridCol w:w="1710"/>
      <w:gridCol w:w="7425"/>
      <w:tblGridChange w:id="0">
        <w:tblGrid>
          <w:gridCol w:w="1710"/>
          <w:gridCol w:w="7425"/>
        </w:tblGrid>
      </w:tblGridChange>
    </w:tblGrid>
    <w:tr>
      <w:trPr>
        <w:trHeight w:val="645" w:hRule="atLeast"/>
      </w:trPr>
      <w:tc>
        <w:tcPr>
          <w:vMerge w:val="restart"/>
          <w:tcBorders>
            <w:right w:color="000000" w:space="0" w:sz="0" w:val="nil"/>
          </w:tcBorders>
          <w:tcMar>
            <w:top w:w="40.0" w:type="dxa"/>
            <w:left w:w="40.0" w:type="dxa"/>
            <w:bottom w:w="40.0" w:type="dxa"/>
            <w:right w:w="40.0" w:type="dxa"/>
          </w:tcMar>
          <w:vAlign w:val="top"/>
        </w:tcPr>
        <w:p w:rsidR="00000000" w:rsidDel="00000000" w:rsidP="00000000" w:rsidRDefault="00000000" w:rsidRPr="00000000" w14:paraId="00000083">
          <w:pPr>
            <w:spacing w:after="0" w:line="276" w:lineRule="auto"/>
            <w:ind w:right="660"/>
            <w:jc w:val="both"/>
            <w:rPr>
              <w:rFonts w:ascii="Arial" w:cs="Arial" w:eastAsia="Arial" w:hAnsi="Arial"/>
              <w:sz w:val="20"/>
              <w:szCs w:val="20"/>
            </w:rPr>
          </w:pPr>
          <w:r w:rsidDel="00000000" w:rsidR="00000000" w:rsidRPr="00000000">
            <w:rPr>
              <w:rtl w:val="0"/>
            </w:rPr>
          </w:r>
        </w:p>
      </w:tc>
      <w:tc>
        <w:tcPr>
          <w:tcBorders>
            <w:left w:color="000000" w:space="0" w:sz="0" w:val="nil"/>
            <w:bottom w:color="000000" w:space="0" w:sz="0" w:val="nil"/>
          </w:tcBorders>
          <w:tcMar>
            <w:top w:w="40.0" w:type="dxa"/>
            <w:left w:w="40.0" w:type="dxa"/>
            <w:bottom w:w="40.0" w:type="dxa"/>
            <w:right w:w="40.0" w:type="dxa"/>
          </w:tcMar>
          <w:vAlign w:val="bottom"/>
        </w:tcPr>
        <w:p w:rsidR="00000000" w:rsidDel="00000000" w:rsidP="00000000" w:rsidRDefault="00000000" w:rsidRPr="00000000" w14:paraId="00000084">
          <w:pPr>
            <w:widowControl w:val="0"/>
            <w:spacing w:after="0" w:line="276" w:lineRule="auto"/>
            <w:rPr>
              <w:rFonts w:ascii="Arial" w:cs="Arial" w:eastAsia="Arial" w:hAnsi="Arial"/>
              <w:sz w:val="20"/>
              <w:szCs w:val="20"/>
            </w:rPr>
          </w:pPr>
          <w:r w:rsidDel="00000000" w:rsidR="00000000" w:rsidRPr="00000000">
            <w:rPr>
              <w:rFonts w:ascii="Arial" w:cs="Arial" w:eastAsia="Arial" w:hAnsi="Arial"/>
              <w:b w:val="1"/>
              <w:color w:val="434343"/>
              <w:sz w:val="18"/>
              <w:szCs w:val="18"/>
              <w:rtl w:val="0"/>
            </w:rPr>
            <w:t xml:space="preserve">           LISTA DE VERIFICAÇÃO (ESTUDO TÉCNICO PRELIMINAR)</w:t>
          </w:r>
          <w:r w:rsidDel="00000000" w:rsidR="00000000" w:rsidRPr="00000000">
            <w:rPr>
              <w:rtl w:val="0"/>
            </w:rPr>
          </w:r>
        </w:p>
      </w:tc>
    </w:tr>
    <w:tr>
      <w:trPr>
        <w:trHeight w:val="315" w:hRule="atLeast"/>
      </w:trPr>
      <w:tc>
        <w:tcPr>
          <w:vMerge w:val="continue"/>
          <w:shd w:fill="auto" w:val="clear"/>
          <w:tcMar>
            <w:top w:w="100.0" w:type="dxa"/>
            <w:left w:w="100.0" w:type="dxa"/>
            <w:bottom w:w="100.0" w:type="dxa"/>
            <w:right w:w="100.0" w:type="dxa"/>
          </w:tcMar>
          <w:vAlign w:val="top"/>
        </w:tcPr>
        <w:p w:rsidR="00000000" w:rsidDel="00000000" w:rsidP="00000000" w:rsidRDefault="00000000" w:rsidRPr="00000000" w14:paraId="00000085">
          <w:pPr>
            <w:widowControl w:val="0"/>
            <w:spacing w:after="0" w:line="276" w:lineRule="auto"/>
            <w:rPr>
              <w:rFonts w:ascii="Arial" w:cs="Arial" w:eastAsia="Arial" w:hAnsi="Arial"/>
              <w:sz w:val="20"/>
              <w:szCs w:val="20"/>
            </w:rPr>
          </w:pPr>
          <w:r w:rsidDel="00000000" w:rsidR="00000000" w:rsidRPr="00000000">
            <w:rPr>
              <w:rtl w:val="0"/>
            </w:rPr>
          </w:r>
        </w:p>
      </w:tc>
      <w:tc>
        <w:tcPr>
          <w:tcBorders>
            <w:top w:color="000000" w:space="0" w:sz="0" w:val="nil"/>
          </w:tcBorders>
          <w:shd w:fill="auto" w:val="clear"/>
          <w:tcMar>
            <w:top w:w="40.0" w:type="dxa"/>
            <w:left w:w="40.0" w:type="dxa"/>
            <w:bottom w:w="40.0" w:type="dxa"/>
            <w:right w:w="40.0" w:type="dxa"/>
          </w:tcMar>
          <w:vAlign w:val="top"/>
        </w:tcPr>
        <w:p w:rsidR="00000000" w:rsidDel="00000000" w:rsidP="00000000" w:rsidRDefault="00000000" w:rsidRPr="00000000" w14:paraId="00000086">
          <w:pPr>
            <w:spacing w:after="0" w:line="216" w:lineRule="auto"/>
            <w:ind w:right="660"/>
            <w:rPr>
              <w:rFonts w:ascii="Arial" w:cs="Arial" w:eastAsia="Arial" w:hAnsi="Arial"/>
              <w:sz w:val="20"/>
              <w:szCs w:val="20"/>
            </w:rPr>
          </w:pPr>
          <w:r w:rsidDel="00000000" w:rsidR="00000000" w:rsidRPr="00000000">
            <w:rPr>
              <w:rtl w:val="0"/>
            </w:rPr>
          </w:r>
        </w:p>
      </w:tc>
    </w:tr>
  </w:tbl>
  <w:p w:rsidR="00000000" w:rsidDel="00000000" w:rsidP="00000000" w:rsidRDefault="00000000" w:rsidRPr="00000000" w14:paraId="00000087">
    <w:pPr>
      <w:rPr/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88">
    <w:pPr>
      <w:keepNext w:val="1"/>
      <w:keepLines w:val="1"/>
      <w:spacing w:after="0" w:line="276" w:lineRule="auto"/>
      <w:ind w:left="3118.1102362204724" w:right="-1116.2598425196836" w:firstLine="0"/>
      <w:rPr>
        <w:rFonts w:ascii="Arial" w:cs="Arial" w:eastAsia="Arial" w:hAnsi="Arial"/>
        <w:b w:val="1"/>
        <w:sz w:val="24"/>
        <w:szCs w:val="24"/>
      </w:rPr>
    </w:pPr>
    <w:r w:rsidDel="00000000" w:rsidR="00000000" w:rsidRPr="00000000">
      <w:rPr>
        <w:rFonts w:ascii="Arial" w:cs="Arial" w:eastAsia="Arial" w:hAnsi="Arial"/>
        <w:b w:val="1"/>
        <w:sz w:val="24"/>
        <w:szCs w:val="24"/>
        <w:rtl w:val="0"/>
      </w:rPr>
      <w:t xml:space="preserve">UNIVERSIDADE FEDERAL DE PERNAMBUCO</w:t>
    </w:r>
    <w:r w:rsidDel="00000000" w:rsidR="00000000" w:rsidRPr="00000000">
      <w:drawing>
        <wp:anchor allowOverlap="1" behindDoc="0" distB="127000" distT="0" distL="0" distR="0" hidden="0" layoutInCell="1" locked="0" relativeHeight="0" simplePos="0">
          <wp:simplePos x="0" y="0"/>
          <wp:positionH relativeFrom="column">
            <wp:posOffset>-514349</wp:posOffset>
          </wp:positionH>
          <wp:positionV relativeFrom="paragraph">
            <wp:posOffset>-304799</wp:posOffset>
          </wp:positionV>
          <wp:extent cx="2325053" cy="1084412"/>
          <wp:effectExtent b="0" l="0" r="0" t="0"/>
          <wp:wrapNone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2325053" cy="1084412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89">
    <w:pPr>
      <w:keepNext w:val="1"/>
      <w:keepLines w:val="1"/>
      <w:tabs>
        <w:tab w:val="left" w:pos="0"/>
      </w:tabs>
      <w:spacing w:after="0" w:line="276" w:lineRule="auto"/>
      <w:ind w:left="3118.1102362204724" w:right="-1116.2598425196836" w:firstLine="0"/>
      <w:rPr>
        <w:rFonts w:ascii="Arial" w:cs="Arial" w:eastAsia="Arial" w:hAnsi="Arial"/>
      </w:rPr>
    </w:pPr>
    <w:bookmarkStart w:colFirst="0" w:colLast="0" w:name="_30j0zll" w:id="0"/>
    <w:bookmarkEnd w:id="0"/>
    <w:r w:rsidDel="00000000" w:rsidR="00000000" w:rsidRPr="00000000">
      <w:rPr>
        <w:rFonts w:ascii="Arial" w:cs="Arial" w:eastAsia="Arial" w:hAnsi="Arial"/>
        <w:rtl w:val="0"/>
      </w:rPr>
      <w:t xml:space="preserve">SUPERINTENDÊNCIA DE TECNOLOGIA DA INFORMAÇÃO</w:t>
    </w:r>
  </w:p>
  <w:p w:rsidR="00000000" w:rsidDel="00000000" w:rsidP="00000000" w:rsidRDefault="00000000" w:rsidRPr="00000000" w14:paraId="0000008A">
    <w:pPr>
      <w:widowControl w:val="0"/>
      <w:tabs>
        <w:tab w:val="center" w:pos="4819"/>
        <w:tab w:val="right" w:pos="9638"/>
        <w:tab w:val="center" w:pos="2125"/>
        <w:tab w:val="right" w:pos="6944"/>
      </w:tabs>
      <w:spacing w:after="0" w:line="276" w:lineRule="auto"/>
      <w:ind w:left="3118.1102362204724" w:right="-1116.2598425196836" w:firstLine="0"/>
      <w:rPr>
        <w:rFonts w:ascii="Arial" w:cs="Arial" w:eastAsia="Arial" w:hAnsi="Arial"/>
      </w:rPr>
    </w:pPr>
    <w:r w:rsidDel="00000000" w:rsidR="00000000" w:rsidRPr="00000000">
      <w:rPr>
        <w:rFonts w:ascii="Arial" w:cs="Arial" w:eastAsia="Arial" w:hAnsi="Arial"/>
        <w:rtl w:val="0"/>
      </w:rPr>
      <w:t xml:space="preserve">PRÓ-REITORIA DE GESTÃO ADMINISTRATIVA</w:t>
    </w:r>
  </w:p>
  <w:p w:rsidR="00000000" w:rsidDel="00000000" w:rsidP="00000000" w:rsidRDefault="00000000" w:rsidRPr="00000000" w14:paraId="0000008B">
    <w:pPr>
      <w:widowControl w:val="0"/>
      <w:tabs>
        <w:tab w:val="center" w:pos="4819"/>
        <w:tab w:val="right" w:pos="9638"/>
      </w:tabs>
      <w:spacing w:after="0" w:line="240" w:lineRule="auto"/>
      <w:rPr>
        <w:rFonts w:ascii="Arial" w:cs="Arial" w:eastAsia="Arial" w:hAnsi="Arial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8C">
    <w:pPr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pt-BR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footer" Target="footer2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header" Target="header2.xml"/><Relationship Id="rId8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Lato-regular.ttf"/><Relationship Id="rId2" Type="http://schemas.openxmlformats.org/officeDocument/2006/relationships/font" Target="fonts/Lato-bold.ttf"/><Relationship Id="rId3" Type="http://schemas.openxmlformats.org/officeDocument/2006/relationships/font" Target="fonts/Lato-italic.ttf"/><Relationship Id="rId4" Type="http://schemas.openxmlformats.org/officeDocument/2006/relationships/font" Target="fonts/Lato-boldItalic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