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tabs>
          <w:tab w:val="center" w:pos="4524.212598425196"/>
          <w:tab w:val="right" w:pos="10350"/>
        </w:tabs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PROCEDIMENTO PARA RECEBIMENTO E AVALIAÇÃO DA QUALIDADE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-4235062</wp:posOffset>
            </wp:positionH>
            <wp:positionV relativeFrom="paragraph">
              <wp:posOffset>127000</wp:posOffset>
            </wp:positionV>
            <wp:extent cx="10883513" cy="190500"/>
            <wp:effectExtent b="5346506" l="-5346506" r="-5346506" t="5346506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883513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rx6e452lrfoq" w:id="1"/>
      <w:bookmarkEnd w:id="1"/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Este documento estabelece os procedimentos necessários para o recebimento provisório, a avaliação da qualidade e o recebimento definitivo do objeto da contratação, que são as etapas da execução da Ordem de Serviço ou de Fornecimento de Bens onde o fiscal técnico deve participar.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am1heolvk7vl" w:id="2"/>
      <w:bookmarkEnd w:id="2"/>
      <w:r w:rsidDel="00000000" w:rsidR="00000000" w:rsidRPr="00000000">
        <w:rPr>
          <w:rtl w:val="0"/>
        </w:rPr>
        <w:t xml:space="preserve">Legislação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Art. 19 da Instrução Normativa SGD/ME nº 1, de 4 de abril de 2019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Art. 73 da Lei nº 8.666, de 1993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ymvjh5tzrct1" w:id="3"/>
      <w:bookmarkEnd w:id="3"/>
      <w:r w:rsidDel="00000000" w:rsidR="00000000" w:rsidRPr="00000000">
        <w:rPr>
          <w:rtl w:val="0"/>
        </w:rPr>
        <w:t xml:space="preserve">Papéis e Responsabilidades</w:t>
      </w:r>
    </w:p>
    <w:tbl>
      <w:tblPr>
        <w:tblStyle w:val="Table1"/>
        <w:tblW w:w="93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5370"/>
        <w:tblGridChange w:id="0">
          <w:tblGrid>
            <w:gridCol w:w="3960"/>
            <w:gridCol w:w="5370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Papel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Responsabilidade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Fiscal técnico do contrato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Responsabilidades previstas na IN01, </w:t>
            </w:r>
            <w:r w:rsidDel="00000000" w:rsidR="00000000" w:rsidRPr="00000000">
              <w:rPr>
                <w:rtl w:val="0"/>
              </w:rPr>
              <w:t xml:space="preserve">de 4 de abril de 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Fiscal requisitante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Responsabilidades previstas na IN01, </w:t>
            </w:r>
            <w:r w:rsidDel="00000000" w:rsidR="00000000" w:rsidRPr="00000000">
              <w:rPr>
                <w:rtl w:val="0"/>
              </w:rPr>
              <w:t xml:space="preserve">de 4 de abril de 2019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rsra5zj9ql7e" w:id="4"/>
      <w:bookmarkEnd w:id="4"/>
      <w:r w:rsidDel="00000000" w:rsidR="00000000" w:rsidRPr="00000000">
        <w:rPr>
          <w:rtl w:val="0"/>
        </w:rPr>
        <w:t xml:space="preserve">Procedimentos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940000" cy="3835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83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Figura 1. Fluxo de Execução da OS/OFB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1. Receber objeto provisoriamente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 responsável</w:t>
      </w:r>
      <w:r w:rsidDel="00000000" w:rsidR="00000000" w:rsidRPr="00000000">
        <w:rPr>
          <w:rtl w:val="0"/>
        </w:rPr>
        <w:t xml:space="preserve"> deverá preencher e assinar o recebimento provisório, quando da entrega do objeto constante na Ordem de Serviço ou de Fornecimento de Bens.</w:t>
      </w:r>
      <w:r w:rsidDel="00000000" w:rsidR="00000000" w:rsidRPr="00000000">
        <w:rPr>
          <w:rtl w:val="0"/>
        </w:rPr>
        <w:t xml:space="preserve"> O modelo do Termo de Recebimento Provisório está disposto na página da STI, menu Contratações de TIC, seção Orientações.</w:t>
      </w:r>
    </w:p>
    <w:p w:rsidR="00000000" w:rsidDel="00000000" w:rsidP="00000000" w:rsidRDefault="00000000" w:rsidRPr="00000000" w14:paraId="00000014">
      <w:pPr>
        <w:ind w:left="7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https://www.ufpe.br/sti/governanca-de-tic/contratacoes-de-tic/orientacoes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2. Avaliar qualidade e identificar não conformidades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Após o recebimento provisório do objeto, deverá ser avaliada a qualidade dos serviços realizados ou dos bens entregues e justificativas, a partir da aplicação das </w:t>
      </w:r>
      <w:r w:rsidDel="00000000" w:rsidR="00000000" w:rsidRPr="00000000">
        <w:rPr>
          <w:b w:val="1"/>
          <w:rtl w:val="0"/>
        </w:rPr>
        <w:t xml:space="preserve">listas de verificação</w:t>
      </w:r>
      <w:r w:rsidDel="00000000" w:rsidR="00000000" w:rsidRPr="00000000">
        <w:rPr>
          <w:rtl w:val="0"/>
        </w:rPr>
        <w:t xml:space="preserve"> e de acordo com os </w:t>
      </w:r>
      <w:r w:rsidDel="00000000" w:rsidR="00000000" w:rsidRPr="00000000">
        <w:rPr>
          <w:b w:val="1"/>
          <w:rtl w:val="0"/>
        </w:rPr>
        <w:t xml:space="preserve">critérios de aceitação</w:t>
      </w:r>
      <w:r w:rsidDel="00000000" w:rsidR="00000000" w:rsidRPr="00000000">
        <w:rPr>
          <w:rtl w:val="0"/>
        </w:rPr>
        <w:t xml:space="preserve"> definidos em contrato, a cargo dos Fiscais Técnico e Requisitante do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 avaliação da qualidade será feita utilizando a inspeção total do fornecimento de bens/da prestação de serviços ou utilizando a inspeção por amostragem.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5505"/>
        <w:tblGridChange w:id="0">
          <w:tblGrid>
            <w:gridCol w:w="3780"/>
            <w:gridCol w:w="550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Abordagem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Quando utilizar?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Inspeção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Sempre que possível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Inspeção por amostragem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Quando o quantitativo dos bens e do serviço for de tamanho tal que o custo-benefício de se inspecionar a amostra completa não seja aceitável. Nestes casos deverá ser definida o tamanho adequado da amostra a ser considerada conforme seção a seguir.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2.1 Elaboração e análise da amostra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Quando não houver a possibilidade de inspeção total dos itens adquiridos ou do serviço fornecido, deverá ser feita a inspeção de pelo menos 10% da amostra de cada lote. No caso da aquisição de produtos que pertençam a diferentes lotes de produção, a inspeção por amostragem deverá ser feita em cada lote. Nos casos em que isto não seja possível, deverá ser justificado no documento Lista de Verificação.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 cada lote: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  <w:t xml:space="preserve">Retira-se amostras do tamanho da amostra (proporção em relação ao lote) definido.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  <w:t xml:space="preserve">Examina-se uma a uma de acordo com a Lista de Verificação.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before="0" w:beforeAutospacing="0"/>
        <w:ind w:left="1440" w:hanging="360"/>
        <w:rPr/>
      </w:pPr>
      <w:r w:rsidDel="00000000" w:rsidR="00000000" w:rsidRPr="00000000">
        <w:rPr>
          <w:rtl w:val="0"/>
        </w:rPr>
        <w:t xml:space="preserve">Se o número de defeituosos for menor ou igual ao Número de Aceitação - ou Percentual de Aceitação da amostra - o lote é aceito.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3.6" w:lineRule="auto"/>
        <w:ind w:left="0" w:right="0"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2.2. Lista de verificação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3.6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O modelo de lista de verificação está disposto na página da STI, menu Contratações de TIC, seção Orientações.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3.6" w:lineRule="auto"/>
        <w:ind w:left="720" w:right="0" w:firstLine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https://www.ufpe.br/sti/governanca-de-tic/contratacoes-de-tic/orientacoes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3.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lista de verificação definitiva deverá ser complementada com base nas características do bem ou serviço de TIC previstas no Termo de Referência.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3.6" w:lineRule="auto"/>
        <w:ind w:left="0" w:right="0"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2.3. Registro de falhas ou defeitos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73.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Após a aplicação da lista de verificação, deve-se registrar as falhas ou defeitos no objeto e </w:t>
      </w:r>
      <w:r w:rsidDel="00000000" w:rsidR="00000000" w:rsidRPr="00000000">
        <w:rPr>
          <w:b w:val="1"/>
          <w:rtl w:val="0"/>
        </w:rPr>
        <w:t xml:space="preserve">as não conformidades com os termos contratuais definidos.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3.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 falhas, defeitos e não conformidades devem ser registradas no Formulário de registro de falhas ou defeitos (não-conformidades). O modelo para o formulário está disposto na página da STI, menu Contratações de TIC, seção Orientações.</w:t>
      </w:r>
    </w:p>
    <w:p w:rsidR="00000000" w:rsidDel="00000000" w:rsidP="00000000" w:rsidRDefault="00000000" w:rsidRPr="00000000" w14:paraId="0000002D">
      <w:pPr>
        <w:ind w:left="720" w:firstLine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https://www.ufpe.br/sti/governanca-de-tic/contratacoes-de-tic/orientacoes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3.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Recebimento Definitivo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3.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Fiscal Requisitante e o Fiscal Técnico do Contrato preencherão e assinarão o Termo de Recebimento Definitivo, com base nas informações produzidas nos incisos I a VII do artigo 33 da IN01 de 4 de abril de 2019. O termo deverá utilizar o modelo disponível na página da STI, menu Contratações de TIC, seção Orientações.</w:t>
      </w:r>
    </w:p>
    <w:p w:rsidR="00000000" w:rsidDel="00000000" w:rsidP="00000000" w:rsidRDefault="00000000" w:rsidRPr="00000000" w14:paraId="00000030">
      <w:pPr>
        <w:ind w:left="72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https://www.ufpe.br/sti/governanca-de-tic/contratacoes-de-tic/orientacoes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3.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73.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73.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73.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8" w:w="11906" w:orient="portrait"/>
      <w:pgMar w:bottom="1133.8582677165355" w:top="1984.2519685039372" w:left="1700.7874015748032" w:right="850.3937007874016" w:header="645" w:footer="299.999999999997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Style w:val="Heading4"/>
      <w:ind w:left="0" w:right="-991.062992125984" w:firstLine="0"/>
      <w:jc w:val="right"/>
      <w:rPr>
        <w:sz w:val="14"/>
        <w:szCs w:val="14"/>
      </w:rPr>
    </w:pPr>
    <w:bookmarkStart w:colFirst="0" w:colLast="0" w:name="_eliugsvv2ww9" w:id="8"/>
    <w:bookmarkEnd w:id="8"/>
    <w:r w:rsidDel="00000000" w:rsidR="00000000" w:rsidRPr="00000000">
      <w:rPr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ind w:right="-277.7952755905511"/>
      <w:jc w:val="right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Página</w:t>
    </w:r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Style w:val="Heading1"/>
      <w:ind w:left="2125.9842519685035" w:firstLine="0"/>
      <w:rPr/>
    </w:pPr>
    <w:bookmarkStart w:colFirst="0" w:colLast="0" w:name="_vinv3kl21f0t" w:id="5"/>
    <w:bookmarkEnd w:id="5"/>
    <w:r w:rsidDel="00000000" w:rsidR="00000000" w:rsidRPr="00000000">
      <w:rPr>
        <w:rtl w:val="0"/>
      </w:rPr>
      <w:t xml:space="preserve">UNIVERSIDADE FEDERAL DE PERNAMBUCO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-104774</wp:posOffset>
          </wp:positionH>
          <wp:positionV relativeFrom="paragraph">
            <wp:posOffset>-171449</wp:posOffset>
          </wp:positionV>
          <wp:extent cx="1333500" cy="762000"/>
          <wp:effectExtent b="0" l="0" r="0" t="0"/>
          <wp:wrapSquare wrapText="bothSides" distB="0" distT="0" distL="0" distR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-1247774</wp:posOffset>
          </wp:positionH>
          <wp:positionV relativeFrom="paragraph">
            <wp:posOffset>-409574</wp:posOffset>
          </wp:positionV>
          <wp:extent cx="10883513" cy="190500"/>
          <wp:effectExtent b="5346506" l="-5346506" r="-5346506" t="5346506"/>
          <wp:wrapSquare wrapText="bothSides" distB="0" distT="0" distL="0" distR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 rot="16200000">
                    <a:off x="0" y="0"/>
                    <a:ext cx="10883513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5105400</wp:posOffset>
          </wp:positionH>
          <wp:positionV relativeFrom="paragraph">
            <wp:posOffset>-352424</wp:posOffset>
          </wp:positionV>
          <wp:extent cx="1333500" cy="1452756"/>
          <wp:effectExtent b="0" l="0" r="0" t="0"/>
          <wp:wrapSquare wrapText="bothSides" distB="0" distT="0" distL="0" distR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145275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Style w:val="Heading2"/>
      <w:ind w:left="2125.9842519685035" w:firstLine="0"/>
      <w:jc w:val="left"/>
      <w:rPr>
        <w:b w:val="0"/>
        <w:sz w:val="22"/>
        <w:szCs w:val="22"/>
      </w:rPr>
    </w:pPr>
    <w:bookmarkStart w:colFirst="0" w:colLast="0" w:name="_i6im42cm7pab" w:id="6"/>
    <w:bookmarkEnd w:id="6"/>
    <w:r w:rsidDel="00000000" w:rsidR="00000000" w:rsidRPr="00000000">
      <w:rPr>
        <w:b w:val="0"/>
        <w:sz w:val="22"/>
        <w:szCs w:val="22"/>
        <w:rtl w:val="0"/>
      </w:rPr>
      <w:t xml:space="preserve">NÚCLEO DE TECNOLOGIA DA INFORMAÇÃO</w:t>
    </w:r>
  </w:p>
  <w:p w:rsidR="00000000" w:rsidDel="00000000" w:rsidP="00000000" w:rsidRDefault="00000000" w:rsidRPr="00000000" w14:paraId="00000037">
    <w:pPr>
      <w:pStyle w:val="Heading2"/>
      <w:ind w:left="2125.9842519685035" w:firstLine="0"/>
      <w:jc w:val="left"/>
      <w:rPr/>
    </w:pPr>
    <w:bookmarkStart w:colFirst="0" w:colLast="0" w:name="_nc8ir8es9uz9" w:id="7"/>
    <w:bookmarkEnd w:id="7"/>
    <w:r w:rsidDel="00000000" w:rsidR="00000000" w:rsidRPr="00000000">
      <w:rPr>
        <w:b w:val="0"/>
        <w:sz w:val="22"/>
        <w:szCs w:val="22"/>
        <w:rtl w:val="0"/>
      </w:rPr>
      <w:t xml:space="preserve">Coordenação de Governança de TI e Processos - CGP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Style w:val="Heading5"/>
      <w:spacing w:after="0" w:before="0" w:line="271.2" w:lineRule="auto"/>
      <w:ind w:left="2125.9842519685035" w:firstLine="0"/>
      <w:jc w:val="left"/>
      <w:rPr>
        <w:sz w:val="8"/>
        <w:szCs w:val="8"/>
      </w:rPr>
    </w:pPr>
    <w:bookmarkStart w:colFirst="0" w:colLast="0" w:name="_qjr4n63egqpv" w:id="9"/>
    <w:bookmarkEnd w:id="9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2700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-228599</wp:posOffset>
          </wp:positionV>
          <wp:extent cx="1320300" cy="1066800"/>
          <wp:effectExtent b="0" l="0" r="0" t="0"/>
          <wp:wrapNone/>
          <wp:docPr id="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3372" r="39682" t="0"/>
                  <a:stretch>
                    <a:fillRect/>
                  </a:stretch>
                </pic:blipFill>
                <pic:spPr>
                  <a:xfrm>
                    <a:off x="0" y="0"/>
                    <a:ext cx="1320300" cy="1066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pStyle w:val="Heading5"/>
      <w:spacing w:after="0" w:before="0" w:line="271.2" w:lineRule="auto"/>
      <w:ind w:left="2125.9842519685035" w:firstLine="0"/>
      <w:jc w:val="left"/>
      <w:rPr>
        <w:sz w:val="10"/>
        <w:szCs w:val="10"/>
      </w:rPr>
    </w:pPr>
    <w:bookmarkStart w:colFirst="0" w:colLast="0" w:name="_ulajyz5d9wvz" w:id="10"/>
    <w:bookmarkEnd w:id="1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Style w:val="Heading5"/>
      <w:spacing w:after="0" w:before="0" w:line="271.2" w:lineRule="auto"/>
      <w:ind w:left="2125.9842519685035" w:firstLine="0"/>
      <w:jc w:val="left"/>
      <w:rPr/>
    </w:pPr>
    <w:bookmarkStart w:colFirst="0" w:colLast="0" w:name="_w0mhqjjxyl6l" w:id="11"/>
    <w:bookmarkEnd w:id="11"/>
    <w:r w:rsidDel="00000000" w:rsidR="00000000" w:rsidRPr="00000000">
      <w:rPr>
        <w:rtl w:val="0"/>
      </w:rPr>
      <w:t xml:space="preserve">UNIVERSIDADE FEDERAL DE PERNAMBUCO</w:t>
    </w:r>
  </w:p>
  <w:p w:rsidR="00000000" w:rsidDel="00000000" w:rsidP="00000000" w:rsidRDefault="00000000" w:rsidRPr="00000000" w14:paraId="0000003D">
    <w:pPr>
      <w:pStyle w:val="Heading6"/>
      <w:jc w:val="left"/>
      <w:rPr/>
    </w:pPr>
    <w:bookmarkStart w:colFirst="0" w:colLast="0" w:name="_6cxtu4fupior" w:id="12"/>
    <w:bookmarkEnd w:id="12"/>
    <w:r w:rsidDel="00000000" w:rsidR="00000000" w:rsidRPr="00000000">
      <w:rPr>
        <w:rtl w:val="0"/>
      </w:rPr>
      <w:t xml:space="preserve">SUPERINTENDÊNCIA DE TECNOLOGIA DA INFORMAÇÃO</w:t>
    </w:r>
  </w:p>
  <w:p w:rsidR="00000000" w:rsidDel="00000000" w:rsidP="00000000" w:rsidRDefault="00000000" w:rsidRPr="00000000" w14:paraId="0000003E">
    <w:pPr>
      <w:pStyle w:val="Heading2"/>
      <w:ind w:left="2125.9842519685035" w:firstLine="0"/>
      <w:jc w:val="left"/>
      <w:rPr>
        <w:b w:val="0"/>
        <w:sz w:val="22"/>
        <w:szCs w:val="22"/>
      </w:rPr>
    </w:pPr>
    <w:bookmarkStart w:colFirst="0" w:colLast="0" w:name="_yhpp3x2qypsc" w:id="13"/>
    <w:bookmarkEnd w:id="1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before="0" w:line="276" w:lineRule="auto"/>
      <w:ind w:left="0" w:right="66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0" w:before="0" w:line="276" w:lineRule="auto"/>
      <w:ind w:left="0" w:right="66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tabs>
          <w:tab w:val="center" w:pos="4860"/>
          <w:tab w:val="right" w:pos="10350"/>
        </w:tabs>
        <w:spacing w:after="120" w:before="120" w:line="273.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="276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76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40" w:lineRule="auto"/>
    </w:pPr>
    <w:rPr/>
  </w:style>
  <w:style w:type="paragraph" w:styleId="Heading4">
    <w:name w:val="heading 4"/>
    <w:basedOn w:val="Normal"/>
    <w:next w:val="Normal"/>
    <w:pPr>
      <w:keepNext w:val="1"/>
      <w:keepLines w:val="1"/>
      <w:tabs>
        <w:tab w:val="center" w:pos="4860"/>
        <w:tab w:val="right" w:pos="10350"/>
      </w:tabs>
      <w:ind w:left="720" w:hanging="360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tabs>
        <w:tab w:val="right" w:pos="10440"/>
      </w:tabs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0" w:line="276" w:lineRule="auto"/>
      <w:ind w:left="2125.9842519685035" w:firstLine="0"/>
    </w:pPr>
    <w:rPr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tabs>
        <w:tab w:val="center" w:pos="4524.212598425196"/>
        <w:tab w:val="right" w:pos="10350"/>
      </w:tabs>
      <w:spacing w:after="500" w:line="268.8" w:lineRule="auto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0" w:before="0" w:line="276" w:lineRule="auto"/>
      <w:ind w:left="2125.9842519685035" w:firstLine="0"/>
    </w:pPr>
    <w:rPr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ufpe.br/sti/governanca-de-tic/contratacoes-de-tic/orientacoes" TargetMode="External"/><Relationship Id="rId10" Type="http://schemas.openxmlformats.org/officeDocument/2006/relationships/hyperlink" Target="https://www.ufpe.br/sti/governanca-de-tic/contratacoes-de-tic/orientacoes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fpe.br/sti/governanca-de-tic/contratacoes-de-tic/orientacoes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ufpe.br/sti/governanca-de-tic/contratacoes-de-tic/orientaco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